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outlineLvl w:val="1"/>
        <w:rPr>
          <w:rFonts w:ascii="方正小标宋_GBK" w:hAnsi="宋体" w:eastAsia="方正小标宋_GBK"/>
          <w:color w:val="auto"/>
          <w:kern w:val="0"/>
          <w:sz w:val="44"/>
          <w:szCs w:val="44"/>
        </w:rPr>
      </w:pPr>
    </w:p>
    <w:p>
      <w:pPr>
        <w:widowControl/>
        <w:spacing w:before="100" w:beforeAutospacing="1" w:after="100" w:afterAutospacing="1"/>
        <w:outlineLvl w:val="1"/>
        <w:rPr>
          <w:rFonts w:ascii="方正小标宋_GBK" w:hAnsi="宋体" w:eastAsia="方正小标宋_GBK"/>
          <w:color w:val="auto"/>
          <w:kern w:val="0"/>
          <w:sz w:val="44"/>
          <w:szCs w:val="44"/>
        </w:rPr>
      </w:pPr>
    </w:p>
    <w:p>
      <w:pPr>
        <w:widowControl/>
        <w:spacing w:before="100" w:beforeAutospacing="1" w:after="100" w:afterAutospacing="1"/>
        <w:jc w:val="center"/>
        <w:outlineLvl w:val="1"/>
        <w:rPr>
          <w:rFonts w:ascii="方正小标宋_GBK" w:hAnsi="宋体" w:eastAsia="方正小标宋_GBK"/>
          <w:color w:val="auto"/>
          <w:kern w:val="0"/>
          <w:sz w:val="44"/>
          <w:szCs w:val="44"/>
        </w:rPr>
      </w:pPr>
    </w:p>
    <w:p>
      <w:pPr>
        <w:widowControl/>
        <w:spacing w:before="100" w:beforeAutospacing="1" w:after="100" w:afterAutospacing="1"/>
        <w:jc w:val="center"/>
        <w:outlineLvl w:val="1"/>
        <w:rPr>
          <w:rFonts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新疆维吾尔自治区巴音郭楞蒙古自治州</w:t>
      </w:r>
    </w:p>
    <w:p>
      <w:pPr>
        <w:widowControl/>
        <w:spacing w:before="100" w:beforeAutospacing="1" w:after="100" w:afterAutospacing="1"/>
        <w:jc w:val="center"/>
        <w:outlineLvl w:val="1"/>
        <w:rPr>
          <w:rFonts w:hint="eastAsia" w:ascii="方正小标宋简体" w:hAnsi="方正小标宋简体" w:eastAsia="方正小标宋简体" w:cs="方正小标宋简体"/>
          <w:color w:val="auto"/>
          <w:kern w:val="0"/>
          <w:sz w:val="44"/>
          <w:szCs w:val="44"/>
          <w:lang w:eastAsia="zh-CN"/>
        </w:rPr>
      </w:pPr>
      <w:r>
        <w:rPr>
          <w:rFonts w:hint="eastAsia" w:ascii="方正小标宋简体" w:hAnsi="方正小标宋简体" w:eastAsia="方正小标宋简体" w:cs="方正小标宋简体"/>
          <w:color w:val="auto"/>
          <w:kern w:val="0"/>
          <w:sz w:val="44"/>
          <w:szCs w:val="44"/>
          <w:lang w:eastAsia="zh-CN"/>
        </w:rPr>
        <w:t>中共若羌县纪律检查委员会</w:t>
      </w:r>
    </w:p>
    <w:p>
      <w:pPr>
        <w:widowControl/>
        <w:spacing w:before="100" w:beforeAutospacing="1" w:after="100" w:afterAutospacing="1"/>
        <w:jc w:val="center"/>
        <w:outlineLvl w:val="1"/>
        <w:rPr>
          <w:rFonts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2022年</w:t>
      </w:r>
      <w:r>
        <w:rPr>
          <w:rFonts w:hint="eastAsia" w:ascii="方正小标宋简体" w:hAnsi="方正小标宋简体" w:eastAsia="方正小标宋简体" w:cs="方正小标宋简体"/>
          <w:color w:val="auto"/>
          <w:kern w:val="0"/>
          <w:sz w:val="44"/>
          <w:szCs w:val="44"/>
          <w:lang w:eastAsia="zh-CN"/>
        </w:rPr>
        <w:t>部门</w:t>
      </w:r>
      <w:r>
        <w:rPr>
          <w:rFonts w:hint="eastAsia" w:ascii="方正小标宋简体" w:hAnsi="方正小标宋简体" w:eastAsia="方正小标宋简体" w:cs="方正小标宋简体"/>
          <w:color w:val="auto"/>
          <w:kern w:val="0"/>
          <w:sz w:val="44"/>
          <w:szCs w:val="44"/>
        </w:rPr>
        <w:t>预算公开</w:t>
      </w:r>
    </w:p>
    <w:p>
      <w:pPr>
        <w:widowControl/>
        <w:spacing w:before="100" w:beforeAutospacing="1" w:after="100" w:afterAutospacing="1" w:line="500" w:lineRule="exact"/>
        <w:outlineLvl w:val="1"/>
        <w:rPr>
          <w:rFonts w:ascii="宋体" w:hAnsi="宋体"/>
          <w:b/>
          <w:color w:val="auto"/>
          <w:kern w:val="0"/>
          <w:sz w:val="32"/>
          <w:szCs w:val="32"/>
          <w:highlight w:val="yellow"/>
        </w:rPr>
      </w:pPr>
    </w:p>
    <w:p>
      <w:pPr>
        <w:widowControl/>
        <w:spacing w:before="100" w:beforeAutospacing="1" w:after="100" w:afterAutospacing="1" w:line="500" w:lineRule="exact"/>
        <w:outlineLvl w:val="1"/>
        <w:rPr>
          <w:rFonts w:ascii="宋体" w:hAnsi="宋体"/>
          <w:b/>
          <w:color w:val="auto"/>
          <w:kern w:val="0"/>
          <w:sz w:val="32"/>
          <w:szCs w:val="32"/>
          <w:highlight w:val="yellow"/>
        </w:rPr>
      </w:pPr>
    </w:p>
    <w:p>
      <w:pPr>
        <w:widowControl/>
        <w:spacing w:before="100" w:beforeAutospacing="1" w:after="100" w:afterAutospacing="1" w:line="500" w:lineRule="exact"/>
        <w:outlineLvl w:val="1"/>
        <w:rPr>
          <w:rFonts w:ascii="宋体" w:hAnsi="宋体"/>
          <w:b/>
          <w:color w:val="auto"/>
          <w:kern w:val="0"/>
          <w:sz w:val="32"/>
          <w:szCs w:val="32"/>
          <w:highlight w:val="yellow"/>
        </w:rPr>
      </w:pPr>
    </w:p>
    <w:p>
      <w:pPr>
        <w:widowControl/>
        <w:spacing w:before="100" w:beforeAutospacing="1" w:after="100" w:afterAutospacing="1" w:line="500" w:lineRule="exact"/>
        <w:outlineLvl w:val="1"/>
        <w:rPr>
          <w:rFonts w:ascii="宋体" w:hAnsi="宋体"/>
          <w:b/>
          <w:color w:val="auto"/>
          <w:kern w:val="0"/>
          <w:sz w:val="32"/>
          <w:szCs w:val="32"/>
          <w:highlight w:val="yellow"/>
        </w:rPr>
      </w:pPr>
    </w:p>
    <w:p>
      <w:pPr>
        <w:widowControl/>
        <w:spacing w:before="100" w:beforeAutospacing="1" w:after="100" w:afterAutospacing="1" w:line="500" w:lineRule="exact"/>
        <w:outlineLvl w:val="1"/>
        <w:rPr>
          <w:rFonts w:ascii="宋体" w:hAnsi="宋体"/>
          <w:b/>
          <w:color w:val="auto"/>
          <w:kern w:val="0"/>
          <w:sz w:val="32"/>
          <w:szCs w:val="32"/>
          <w:highlight w:val="yellow"/>
        </w:rPr>
      </w:pPr>
    </w:p>
    <w:p>
      <w:pPr>
        <w:widowControl/>
        <w:spacing w:line="440" w:lineRule="exact"/>
        <w:jc w:val="both"/>
        <w:outlineLvl w:val="1"/>
        <w:rPr>
          <w:rFonts w:ascii="黑体" w:hAnsi="黑体" w:eastAsia="黑体"/>
          <w:color w:val="auto"/>
          <w:kern w:val="0"/>
          <w:sz w:val="36"/>
          <w:szCs w:val="32"/>
        </w:rPr>
      </w:pPr>
    </w:p>
    <w:p>
      <w:pPr>
        <w:widowControl/>
        <w:spacing w:line="440" w:lineRule="exact"/>
        <w:jc w:val="center"/>
        <w:outlineLvl w:val="1"/>
        <w:rPr>
          <w:rFonts w:ascii="黑体" w:hAnsi="黑体" w:eastAsia="黑体"/>
          <w:color w:val="auto"/>
          <w:kern w:val="0"/>
          <w:sz w:val="36"/>
          <w:szCs w:val="32"/>
        </w:rPr>
      </w:pPr>
      <w:r>
        <w:rPr>
          <w:rFonts w:hint="eastAsia" w:ascii="黑体" w:hAnsi="黑体" w:eastAsia="黑体"/>
          <w:color w:val="auto"/>
          <w:kern w:val="0"/>
          <w:sz w:val="36"/>
          <w:szCs w:val="32"/>
        </w:rPr>
        <w:br w:type="page"/>
      </w:r>
      <w:r>
        <w:rPr>
          <w:rFonts w:hint="eastAsia" w:ascii="黑体" w:hAnsi="黑体" w:eastAsia="黑体"/>
          <w:color w:val="auto"/>
          <w:kern w:val="0"/>
          <w:sz w:val="36"/>
          <w:szCs w:val="32"/>
        </w:rPr>
        <w:t>目    录</w:t>
      </w:r>
    </w:p>
    <w:p>
      <w:pPr>
        <w:widowControl/>
        <w:spacing w:line="440" w:lineRule="exact"/>
        <w:ind w:firstLine="883" w:firstLineChars="200"/>
        <w:outlineLvl w:val="1"/>
        <w:rPr>
          <w:rFonts w:ascii="宋体" w:hAnsi="宋体"/>
          <w:b/>
          <w:color w:val="auto"/>
          <w:kern w:val="0"/>
          <w:sz w:val="44"/>
          <w:szCs w:val="44"/>
        </w:rPr>
      </w:pPr>
    </w:p>
    <w:p>
      <w:pPr>
        <w:widowControl/>
        <w:spacing w:line="440" w:lineRule="exact"/>
        <w:ind w:firstLine="643" w:firstLineChars="200"/>
        <w:outlineLvl w:val="1"/>
        <w:rPr>
          <w:rFonts w:ascii="仿宋_GB2312" w:hAnsi="宋体" w:eastAsia="仿宋_GB2312"/>
          <w:b/>
          <w:color w:val="auto"/>
          <w:kern w:val="0"/>
          <w:sz w:val="32"/>
          <w:szCs w:val="32"/>
        </w:rPr>
      </w:pPr>
      <w:r>
        <w:rPr>
          <w:rFonts w:hint="eastAsia" w:ascii="仿宋_GB2312" w:hAnsi="宋体" w:eastAsia="仿宋_GB2312"/>
          <w:b/>
          <w:color w:val="auto"/>
          <w:kern w:val="0"/>
          <w:sz w:val="32"/>
          <w:szCs w:val="32"/>
        </w:rPr>
        <w:t xml:space="preserve">第一部分  </w:t>
      </w:r>
      <w:r>
        <w:rPr>
          <w:rFonts w:hint="eastAsia" w:ascii="仿宋_GB2312" w:hAnsi="宋体" w:eastAsia="仿宋_GB2312"/>
          <w:b/>
          <w:color w:val="auto"/>
          <w:kern w:val="0"/>
          <w:sz w:val="32"/>
          <w:szCs w:val="32"/>
          <w:lang w:eastAsia="zh-CN"/>
        </w:rPr>
        <w:t>中共若羌县纪律检查委员会部门</w:t>
      </w:r>
      <w:r>
        <w:rPr>
          <w:rFonts w:hint="eastAsia" w:ascii="仿宋_GB2312" w:hAnsi="宋体" w:eastAsia="仿宋_GB2312"/>
          <w:b/>
          <w:color w:val="auto"/>
          <w:kern w:val="0"/>
          <w:sz w:val="32"/>
          <w:szCs w:val="32"/>
        </w:rPr>
        <w:t>概况</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一、主要职能</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二、机构设置及人员情况</w:t>
      </w:r>
    </w:p>
    <w:p>
      <w:pPr>
        <w:widowControl/>
        <w:spacing w:line="440" w:lineRule="exact"/>
        <w:ind w:firstLine="643" w:firstLineChars="200"/>
        <w:outlineLvl w:val="1"/>
        <w:rPr>
          <w:rFonts w:ascii="仿宋_GB2312" w:hAnsi="宋体" w:eastAsia="仿宋_GB2312"/>
          <w:b/>
          <w:color w:val="auto"/>
          <w:kern w:val="0"/>
          <w:sz w:val="32"/>
          <w:szCs w:val="32"/>
        </w:rPr>
      </w:pPr>
      <w:r>
        <w:rPr>
          <w:rFonts w:hint="eastAsia" w:ascii="仿宋_GB2312" w:hAnsi="宋体" w:eastAsia="仿宋_GB2312"/>
          <w:b/>
          <w:color w:val="auto"/>
          <w:kern w:val="0"/>
          <w:sz w:val="32"/>
          <w:szCs w:val="32"/>
        </w:rPr>
        <w:t>第二部分  2022年</w:t>
      </w:r>
      <w:r>
        <w:rPr>
          <w:rFonts w:hint="eastAsia" w:ascii="仿宋_GB2312" w:hAnsi="宋体" w:eastAsia="仿宋_GB2312"/>
          <w:b/>
          <w:color w:val="auto"/>
          <w:kern w:val="0"/>
          <w:sz w:val="32"/>
          <w:szCs w:val="32"/>
          <w:lang w:eastAsia="zh-CN"/>
        </w:rPr>
        <w:t>中共若羌县纪律检查委员会部门</w:t>
      </w:r>
      <w:r>
        <w:rPr>
          <w:rFonts w:hint="eastAsia" w:ascii="仿宋_GB2312" w:hAnsi="宋体" w:eastAsia="仿宋_GB2312"/>
          <w:b/>
          <w:color w:val="auto"/>
          <w:kern w:val="0"/>
          <w:sz w:val="32"/>
          <w:szCs w:val="32"/>
        </w:rPr>
        <w:t>预算公开表</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一、</w:t>
      </w:r>
      <w:r>
        <w:rPr>
          <w:rFonts w:hint="eastAsia" w:ascii="仿宋_GB2312" w:hAnsi="宋体" w:eastAsia="仿宋_GB2312"/>
          <w:color w:val="auto"/>
          <w:kern w:val="0"/>
          <w:sz w:val="32"/>
          <w:szCs w:val="32"/>
          <w:lang w:eastAsia="zh-CN"/>
        </w:rPr>
        <w:t>部门</w:t>
      </w:r>
      <w:r>
        <w:rPr>
          <w:rFonts w:hint="eastAsia" w:ascii="仿宋_GB2312" w:hAnsi="宋体" w:eastAsia="仿宋_GB2312"/>
          <w:color w:val="auto"/>
          <w:kern w:val="0"/>
          <w:sz w:val="32"/>
          <w:szCs w:val="32"/>
        </w:rPr>
        <w:t>收支总体情况表</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二、</w:t>
      </w:r>
      <w:r>
        <w:rPr>
          <w:rFonts w:hint="eastAsia" w:ascii="仿宋_GB2312" w:hAnsi="宋体" w:eastAsia="仿宋_GB2312"/>
          <w:color w:val="auto"/>
          <w:kern w:val="0"/>
          <w:sz w:val="32"/>
          <w:szCs w:val="32"/>
          <w:lang w:eastAsia="zh-CN"/>
        </w:rPr>
        <w:t>部门</w:t>
      </w:r>
      <w:r>
        <w:rPr>
          <w:rFonts w:hint="eastAsia" w:ascii="仿宋_GB2312" w:hAnsi="宋体" w:eastAsia="仿宋_GB2312"/>
          <w:color w:val="auto"/>
          <w:kern w:val="0"/>
          <w:sz w:val="32"/>
          <w:szCs w:val="32"/>
        </w:rPr>
        <w:t>收入总体情况表</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三、</w:t>
      </w:r>
      <w:r>
        <w:rPr>
          <w:rFonts w:hint="eastAsia" w:ascii="仿宋_GB2312" w:hAnsi="宋体" w:eastAsia="仿宋_GB2312"/>
          <w:color w:val="auto"/>
          <w:kern w:val="0"/>
          <w:sz w:val="32"/>
          <w:szCs w:val="32"/>
          <w:lang w:eastAsia="zh-CN"/>
        </w:rPr>
        <w:t>部门</w:t>
      </w:r>
      <w:r>
        <w:rPr>
          <w:rFonts w:hint="eastAsia" w:ascii="仿宋_GB2312" w:hAnsi="宋体" w:eastAsia="仿宋_GB2312"/>
          <w:color w:val="auto"/>
          <w:kern w:val="0"/>
          <w:sz w:val="32"/>
          <w:szCs w:val="32"/>
        </w:rPr>
        <w:t>支出总体情况表</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四、财政拨款收支总体情况表</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五、一般公共预算支出情况表</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六、一般公共预算基本支出情况表</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七、一般公共预算</w:t>
      </w:r>
      <w:r>
        <w:rPr>
          <w:rFonts w:hint="eastAsia" w:ascii="仿宋_GB2312" w:hAnsi="宋体" w:eastAsia="仿宋_GB2312"/>
          <w:bCs/>
          <w:color w:val="auto"/>
          <w:kern w:val="0"/>
          <w:sz w:val="32"/>
          <w:szCs w:val="32"/>
        </w:rPr>
        <w:t>项目支出情况表</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八、一般公共预算“三公”经费支出情况表</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九、政府性基金预算支出情况表</w:t>
      </w:r>
    </w:p>
    <w:p>
      <w:pPr>
        <w:widowControl/>
        <w:spacing w:line="440" w:lineRule="exact"/>
        <w:ind w:firstLine="643" w:firstLineChars="200"/>
        <w:outlineLvl w:val="1"/>
        <w:rPr>
          <w:rFonts w:ascii="仿宋_GB2312" w:hAnsi="宋体" w:eastAsia="仿宋_GB2312"/>
          <w:b/>
          <w:color w:val="auto"/>
          <w:kern w:val="0"/>
          <w:sz w:val="32"/>
          <w:szCs w:val="32"/>
        </w:rPr>
      </w:pPr>
      <w:r>
        <w:rPr>
          <w:rFonts w:hint="eastAsia" w:ascii="仿宋_GB2312" w:hAnsi="宋体" w:eastAsia="仿宋_GB2312"/>
          <w:b/>
          <w:color w:val="auto"/>
          <w:kern w:val="0"/>
          <w:sz w:val="32"/>
          <w:szCs w:val="32"/>
        </w:rPr>
        <w:t>第三部分  2022年</w:t>
      </w:r>
      <w:r>
        <w:rPr>
          <w:rFonts w:hint="eastAsia" w:ascii="仿宋_GB2312" w:hAnsi="宋体" w:eastAsia="仿宋_GB2312"/>
          <w:b/>
          <w:color w:val="auto"/>
          <w:kern w:val="0"/>
          <w:sz w:val="32"/>
          <w:szCs w:val="32"/>
          <w:lang w:eastAsia="zh-CN"/>
        </w:rPr>
        <w:t>中共若羌县纪律检查委员会部门</w:t>
      </w:r>
      <w:r>
        <w:rPr>
          <w:rFonts w:hint="eastAsia" w:ascii="仿宋_GB2312" w:hAnsi="宋体" w:eastAsia="仿宋_GB2312"/>
          <w:b/>
          <w:color w:val="auto"/>
          <w:kern w:val="0"/>
          <w:sz w:val="32"/>
          <w:szCs w:val="32"/>
        </w:rPr>
        <w:t>预算情况说明</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一、关于</w:t>
      </w:r>
      <w:r>
        <w:rPr>
          <w:rFonts w:hint="eastAsia" w:ascii="仿宋_GB2312" w:hAnsi="宋体" w:eastAsia="仿宋_GB2312"/>
          <w:color w:val="auto"/>
          <w:kern w:val="0"/>
          <w:sz w:val="32"/>
          <w:szCs w:val="32"/>
          <w:lang w:eastAsia="zh-CN"/>
        </w:rPr>
        <w:t>中共若羌县纪律检查委员会部门</w:t>
      </w:r>
      <w:r>
        <w:rPr>
          <w:rFonts w:hint="eastAsia" w:ascii="仿宋_GB2312" w:hAnsi="宋体" w:eastAsia="仿宋_GB2312"/>
          <w:color w:val="auto"/>
          <w:kern w:val="0"/>
          <w:sz w:val="32"/>
          <w:szCs w:val="32"/>
        </w:rPr>
        <w:t>2022年收支预算情况的总体说明</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二、关于</w:t>
      </w:r>
      <w:r>
        <w:rPr>
          <w:rFonts w:hint="eastAsia" w:ascii="仿宋_GB2312" w:hAnsi="宋体" w:eastAsia="仿宋_GB2312"/>
          <w:color w:val="auto"/>
          <w:kern w:val="0"/>
          <w:sz w:val="32"/>
          <w:szCs w:val="32"/>
          <w:lang w:eastAsia="zh-CN"/>
        </w:rPr>
        <w:t>中共若羌县纪律检查委员会部门</w:t>
      </w:r>
      <w:r>
        <w:rPr>
          <w:rFonts w:hint="eastAsia" w:ascii="仿宋_GB2312" w:hAnsi="宋体" w:eastAsia="仿宋_GB2312"/>
          <w:color w:val="auto"/>
          <w:kern w:val="0"/>
          <w:sz w:val="32"/>
          <w:szCs w:val="32"/>
        </w:rPr>
        <w:t>2022年收入预算情况说明</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三、关于</w:t>
      </w:r>
      <w:r>
        <w:rPr>
          <w:rFonts w:hint="eastAsia" w:ascii="仿宋_GB2312" w:hAnsi="宋体" w:eastAsia="仿宋_GB2312"/>
          <w:color w:val="auto"/>
          <w:kern w:val="0"/>
          <w:sz w:val="32"/>
          <w:szCs w:val="32"/>
          <w:lang w:eastAsia="zh-CN"/>
        </w:rPr>
        <w:t>中共若羌县纪律检查委员会部门</w:t>
      </w:r>
      <w:r>
        <w:rPr>
          <w:rFonts w:hint="eastAsia" w:ascii="仿宋_GB2312" w:hAnsi="宋体" w:eastAsia="仿宋_GB2312"/>
          <w:color w:val="auto"/>
          <w:kern w:val="0"/>
          <w:sz w:val="32"/>
          <w:szCs w:val="32"/>
        </w:rPr>
        <w:t>2022年支出预算情况说明</w:t>
      </w:r>
    </w:p>
    <w:p>
      <w:pPr>
        <w:widowControl/>
        <w:spacing w:line="440" w:lineRule="exact"/>
        <w:ind w:firstLine="640" w:firstLineChars="200"/>
        <w:outlineLvl w:val="1"/>
        <w:rPr>
          <w:rFonts w:ascii="仿宋_GB2312" w:hAnsi="宋体" w:eastAsia="仿宋_GB2312"/>
          <w:bCs/>
          <w:color w:val="auto"/>
          <w:kern w:val="0"/>
          <w:sz w:val="32"/>
          <w:szCs w:val="32"/>
        </w:rPr>
      </w:pPr>
      <w:r>
        <w:rPr>
          <w:rFonts w:hint="eastAsia" w:ascii="仿宋_GB2312" w:hAnsi="宋体" w:eastAsia="仿宋_GB2312"/>
          <w:bCs/>
          <w:color w:val="auto"/>
          <w:kern w:val="0"/>
          <w:sz w:val="32"/>
          <w:szCs w:val="32"/>
        </w:rPr>
        <w:t>四、关于</w:t>
      </w:r>
      <w:r>
        <w:rPr>
          <w:rFonts w:hint="eastAsia" w:ascii="仿宋_GB2312" w:hAnsi="宋体" w:eastAsia="仿宋_GB2312"/>
          <w:color w:val="auto"/>
          <w:kern w:val="0"/>
          <w:sz w:val="32"/>
          <w:szCs w:val="32"/>
          <w:lang w:eastAsia="zh-CN"/>
        </w:rPr>
        <w:t>中共若羌县纪律检查委员会部门</w:t>
      </w:r>
      <w:r>
        <w:rPr>
          <w:rFonts w:hint="eastAsia" w:ascii="仿宋_GB2312" w:hAnsi="宋体" w:eastAsia="仿宋_GB2312"/>
          <w:color w:val="auto"/>
          <w:kern w:val="0"/>
          <w:sz w:val="32"/>
          <w:szCs w:val="32"/>
        </w:rPr>
        <w:t>2022</w:t>
      </w:r>
      <w:r>
        <w:rPr>
          <w:rFonts w:hint="eastAsia" w:ascii="仿宋_GB2312" w:hAnsi="宋体" w:eastAsia="仿宋_GB2312"/>
          <w:bCs/>
          <w:color w:val="auto"/>
          <w:kern w:val="0"/>
          <w:sz w:val="32"/>
          <w:szCs w:val="32"/>
        </w:rPr>
        <w:t>年财政拨款收支预算情况的总体说明</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五、关于</w:t>
      </w:r>
      <w:r>
        <w:rPr>
          <w:rFonts w:hint="eastAsia" w:ascii="仿宋_GB2312" w:hAnsi="宋体" w:eastAsia="仿宋_GB2312"/>
          <w:color w:val="auto"/>
          <w:kern w:val="0"/>
          <w:sz w:val="32"/>
          <w:szCs w:val="32"/>
          <w:lang w:eastAsia="zh-CN"/>
        </w:rPr>
        <w:t>中共若羌县纪律检查委员会部门</w:t>
      </w:r>
      <w:r>
        <w:rPr>
          <w:rFonts w:hint="eastAsia" w:ascii="仿宋_GB2312" w:hAnsi="宋体" w:eastAsia="仿宋_GB2312"/>
          <w:color w:val="auto"/>
          <w:kern w:val="0"/>
          <w:sz w:val="32"/>
          <w:szCs w:val="32"/>
        </w:rPr>
        <w:t>2022年一般公共预算当年拨款情况说明</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六、关于</w:t>
      </w:r>
      <w:r>
        <w:rPr>
          <w:rFonts w:hint="eastAsia" w:ascii="仿宋_GB2312" w:hAnsi="宋体" w:eastAsia="仿宋_GB2312"/>
          <w:color w:val="auto"/>
          <w:kern w:val="0"/>
          <w:sz w:val="32"/>
          <w:szCs w:val="32"/>
          <w:lang w:eastAsia="zh-CN"/>
        </w:rPr>
        <w:t>中共若羌县纪律检查委员会部门</w:t>
      </w:r>
      <w:r>
        <w:rPr>
          <w:rFonts w:hint="eastAsia" w:ascii="仿宋_GB2312" w:hAnsi="宋体" w:eastAsia="仿宋_GB2312"/>
          <w:color w:val="auto"/>
          <w:kern w:val="0"/>
          <w:sz w:val="32"/>
          <w:szCs w:val="32"/>
        </w:rPr>
        <w:t>2022年一般公共预算基本支出情况说明</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七、关于</w:t>
      </w:r>
      <w:r>
        <w:rPr>
          <w:rFonts w:hint="eastAsia" w:ascii="仿宋_GB2312" w:hAnsi="宋体" w:eastAsia="仿宋_GB2312"/>
          <w:color w:val="auto"/>
          <w:kern w:val="0"/>
          <w:sz w:val="32"/>
          <w:szCs w:val="32"/>
          <w:lang w:eastAsia="zh-CN"/>
        </w:rPr>
        <w:t>中共若羌县纪律检查委员会部门</w:t>
      </w:r>
      <w:r>
        <w:rPr>
          <w:rFonts w:hint="eastAsia" w:ascii="仿宋_GB2312" w:hAnsi="宋体" w:eastAsia="仿宋_GB2312"/>
          <w:color w:val="auto"/>
          <w:kern w:val="0"/>
          <w:sz w:val="32"/>
          <w:szCs w:val="32"/>
        </w:rPr>
        <w:t>2022年一般公共预算项目支出情况说明</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八、关于</w:t>
      </w:r>
      <w:r>
        <w:rPr>
          <w:rFonts w:hint="eastAsia" w:ascii="仿宋_GB2312" w:hAnsi="宋体" w:eastAsia="仿宋_GB2312"/>
          <w:color w:val="auto"/>
          <w:kern w:val="0"/>
          <w:sz w:val="32"/>
          <w:szCs w:val="32"/>
          <w:lang w:eastAsia="zh-CN"/>
        </w:rPr>
        <w:t>中共若羌县纪律检查委员会部门</w:t>
      </w:r>
      <w:r>
        <w:rPr>
          <w:rFonts w:hint="eastAsia" w:ascii="仿宋_GB2312" w:hAnsi="宋体" w:eastAsia="仿宋_GB2312"/>
          <w:color w:val="auto"/>
          <w:kern w:val="0"/>
          <w:sz w:val="32"/>
          <w:szCs w:val="32"/>
        </w:rPr>
        <w:t>2022年一般公共预算“三公”经费预算情况说明</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九、关于</w:t>
      </w:r>
      <w:r>
        <w:rPr>
          <w:rFonts w:hint="eastAsia" w:ascii="仿宋_GB2312" w:hAnsi="宋体" w:eastAsia="仿宋_GB2312"/>
          <w:color w:val="auto"/>
          <w:kern w:val="0"/>
          <w:sz w:val="32"/>
          <w:szCs w:val="32"/>
          <w:lang w:eastAsia="zh-CN"/>
        </w:rPr>
        <w:t>中共若羌县纪律检查委员会部门</w:t>
      </w:r>
      <w:r>
        <w:rPr>
          <w:rFonts w:hint="eastAsia" w:ascii="仿宋_GB2312" w:hAnsi="宋体" w:eastAsia="仿宋_GB2312"/>
          <w:color w:val="auto"/>
          <w:kern w:val="0"/>
          <w:sz w:val="32"/>
          <w:szCs w:val="32"/>
        </w:rPr>
        <w:t>2022年政府性基金预算拨款情况说明</w:t>
      </w:r>
    </w:p>
    <w:p>
      <w:pPr>
        <w:widowControl/>
        <w:spacing w:line="440" w:lineRule="exact"/>
        <w:ind w:firstLine="640" w:firstLineChars="200"/>
        <w:outlineLvl w:val="1"/>
        <w:rPr>
          <w:rFonts w:ascii="仿宋_GB2312" w:hAnsi="宋体" w:eastAsia="仿宋_GB2312"/>
          <w:color w:val="auto"/>
          <w:kern w:val="0"/>
          <w:sz w:val="32"/>
          <w:szCs w:val="32"/>
        </w:rPr>
      </w:pPr>
      <w:r>
        <w:rPr>
          <w:rFonts w:hint="eastAsia" w:ascii="仿宋_GB2312" w:hAnsi="宋体" w:eastAsia="仿宋_GB2312"/>
          <w:color w:val="auto"/>
          <w:kern w:val="0"/>
          <w:sz w:val="32"/>
          <w:szCs w:val="32"/>
        </w:rPr>
        <w:t>十、其他重要事项的情况说明</w:t>
      </w:r>
    </w:p>
    <w:p>
      <w:pPr>
        <w:widowControl/>
        <w:spacing w:line="440" w:lineRule="exact"/>
        <w:ind w:firstLine="643" w:firstLineChars="200"/>
        <w:outlineLvl w:val="1"/>
        <w:rPr>
          <w:rFonts w:ascii="仿宋_GB2312" w:hAnsi="宋体" w:eastAsia="仿宋_GB2312"/>
          <w:b/>
          <w:color w:val="auto"/>
          <w:kern w:val="0"/>
          <w:sz w:val="32"/>
          <w:szCs w:val="32"/>
        </w:rPr>
      </w:pPr>
      <w:r>
        <w:rPr>
          <w:rFonts w:hint="eastAsia" w:ascii="仿宋_GB2312" w:hAnsi="宋体" w:eastAsia="仿宋_GB2312"/>
          <w:b/>
          <w:color w:val="auto"/>
          <w:kern w:val="0"/>
          <w:sz w:val="32"/>
          <w:szCs w:val="32"/>
        </w:rPr>
        <w:t>第四部分  名词解释</w:t>
      </w:r>
    </w:p>
    <w:p>
      <w:pPr>
        <w:widowControl/>
        <w:jc w:val="center"/>
        <w:outlineLvl w:val="1"/>
        <w:rPr>
          <w:rFonts w:ascii="黑体" w:hAnsi="黑体" w:eastAsia="黑体"/>
          <w:color w:val="auto"/>
          <w:kern w:val="0"/>
          <w:sz w:val="32"/>
          <w:szCs w:val="32"/>
        </w:rPr>
      </w:pPr>
    </w:p>
    <w:p>
      <w:pPr>
        <w:widowControl/>
        <w:jc w:val="center"/>
        <w:outlineLvl w:val="1"/>
        <w:rPr>
          <w:rFonts w:ascii="黑体" w:hAnsi="黑体" w:eastAsia="黑体"/>
          <w:color w:val="auto"/>
          <w:kern w:val="0"/>
          <w:sz w:val="32"/>
          <w:szCs w:val="32"/>
        </w:rPr>
      </w:pPr>
    </w:p>
    <w:p>
      <w:pPr>
        <w:widowControl/>
        <w:jc w:val="center"/>
        <w:outlineLvl w:val="1"/>
        <w:rPr>
          <w:rFonts w:ascii="黑体" w:hAnsi="黑体" w:eastAsia="黑体"/>
          <w:color w:val="auto"/>
          <w:kern w:val="0"/>
          <w:sz w:val="32"/>
          <w:szCs w:val="32"/>
        </w:rPr>
      </w:pPr>
    </w:p>
    <w:p>
      <w:pPr>
        <w:widowControl/>
        <w:jc w:val="center"/>
        <w:outlineLvl w:val="1"/>
        <w:rPr>
          <w:rFonts w:ascii="黑体" w:hAnsi="黑体" w:eastAsia="黑体"/>
          <w:color w:val="auto"/>
          <w:kern w:val="0"/>
          <w:sz w:val="32"/>
          <w:szCs w:val="32"/>
        </w:rPr>
      </w:pPr>
    </w:p>
    <w:p>
      <w:pPr>
        <w:widowControl/>
        <w:jc w:val="center"/>
        <w:outlineLvl w:val="1"/>
        <w:rPr>
          <w:rFonts w:ascii="黑体" w:hAnsi="黑体" w:eastAsia="黑体"/>
          <w:color w:val="auto"/>
          <w:kern w:val="0"/>
          <w:sz w:val="32"/>
          <w:szCs w:val="32"/>
        </w:rPr>
      </w:pPr>
    </w:p>
    <w:p>
      <w:pPr>
        <w:widowControl/>
        <w:jc w:val="center"/>
        <w:outlineLvl w:val="1"/>
        <w:rPr>
          <w:rFonts w:ascii="黑体" w:hAnsi="黑体" w:eastAsia="黑体"/>
          <w:color w:val="auto"/>
          <w:kern w:val="0"/>
          <w:sz w:val="32"/>
          <w:szCs w:val="32"/>
        </w:rPr>
      </w:pPr>
    </w:p>
    <w:p>
      <w:pPr>
        <w:widowControl/>
        <w:jc w:val="center"/>
        <w:outlineLvl w:val="1"/>
        <w:rPr>
          <w:rFonts w:ascii="黑体" w:hAnsi="黑体" w:eastAsia="黑体"/>
          <w:color w:val="auto"/>
          <w:kern w:val="0"/>
          <w:sz w:val="32"/>
          <w:szCs w:val="32"/>
        </w:rPr>
      </w:pPr>
      <w:r>
        <w:rPr>
          <w:rFonts w:ascii="黑体" w:hAnsi="黑体" w:eastAsia="黑体"/>
          <w:color w:val="auto"/>
          <w:kern w:val="0"/>
          <w:sz w:val="32"/>
          <w:szCs w:val="32"/>
        </w:rPr>
        <w:br w:type="page"/>
      </w:r>
      <w:r>
        <w:rPr>
          <w:rFonts w:hint="eastAsia" w:ascii="黑体" w:hAnsi="黑体" w:eastAsia="黑体"/>
          <w:color w:val="auto"/>
          <w:kern w:val="0"/>
          <w:sz w:val="32"/>
          <w:szCs w:val="32"/>
        </w:rPr>
        <w:t xml:space="preserve">第一部分   </w:t>
      </w:r>
      <w:r>
        <w:rPr>
          <w:rFonts w:hint="eastAsia" w:ascii="黑体" w:hAnsi="黑体" w:eastAsia="黑体"/>
          <w:color w:val="auto"/>
          <w:kern w:val="0"/>
          <w:sz w:val="32"/>
          <w:szCs w:val="32"/>
          <w:lang w:eastAsia="zh-CN"/>
        </w:rPr>
        <w:t>中共若羌县纪律检查委员会部门</w:t>
      </w:r>
      <w:r>
        <w:rPr>
          <w:rFonts w:hint="eastAsia" w:ascii="黑体" w:hAnsi="黑体" w:eastAsia="黑体"/>
          <w:color w:val="auto"/>
          <w:kern w:val="0"/>
          <w:sz w:val="32"/>
          <w:szCs w:val="32"/>
        </w:rPr>
        <w:t>概况</w:t>
      </w:r>
    </w:p>
    <w:p>
      <w:pPr>
        <w:widowControl/>
        <w:jc w:val="center"/>
        <w:outlineLvl w:val="1"/>
        <w:rPr>
          <w:rFonts w:ascii="黑体" w:hAnsi="黑体" w:eastAsia="黑体"/>
          <w:color w:val="auto"/>
          <w:kern w:val="0"/>
          <w:sz w:val="32"/>
          <w:szCs w:val="32"/>
        </w:rPr>
      </w:pPr>
    </w:p>
    <w:p>
      <w:pPr>
        <w:widowControl/>
        <w:spacing w:line="560" w:lineRule="exact"/>
        <w:jc w:val="left"/>
        <w:rPr>
          <w:rFonts w:ascii="黑体" w:hAnsi="黑体" w:eastAsia="黑体" w:cs="宋体"/>
          <w:bCs/>
          <w:color w:val="auto"/>
          <w:kern w:val="0"/>
          <w:sz w:val="32"/>
          <w:szCs w:val="32"/>
        </w:rPr>
      </w:pPr>
      <w:r>
        <w:rPr>
          <w:rFonts w:hint="eastAsia" w:ascii="仿宋_GB2312" w:hAnsi="宋体" w:eastAsia="仿宋_GB2312" w:cs="宋体"/>
          <w:color w:val="auto"/>
          <w:kern w:val="0"/>
          <w:sz w:val="32"/>
          <w:szCs w:val="32"/>
        </w:rPr>
        <w:t xml:space="preserve">　  </w:t>
      </w:r>
      <w:r>
        <w:rPr>
          <w:rFonts w:hint="eastAsia" w:ascii="黑体" w:hAnsi="黑体" w:eastAsia="黑体" w:cs="宋体"/>
          <w:bCs/>
          <w:color w:val="auto"/>
          <w:kern w:val="0"/>
          <w:sz w:val="32"/>
          <w:szCs w:val="32"/>
        </w:rPr>
        <w:t>一、主要职能</w:t>
      </w:r>
    </w:p>
    <w:p>
      <w:pPr>
        <w:widowControl/>
        <w:spacing w:line="560" w:lineRule="exact"/>
        <w:ind w:firstLine="640" w:firstLineChars="200"/>
        <w:jc w:val="left"/>
        <w:rPr>
          <w:rFonts w:hint="eastAsia" w:ascii="仿宋_GB2312" w:hAnsi="黑体" w:eastAsia="仿宋_GB2312" w:cs="宋体"/>
          <w:bCs/>
          <w:color w:val="auto"/>
          <w:kern w:val="0"/>
          <w:sz w:val="32"/>
          <w:szCs w:val="32"/>
          <w:lang w:val="en-US" w:eastAsia="zh-CN"/>
        </w:rPr>
      </w:pPr>
      <w:permStart w:id="0" w:edGrp="everyone"/>
      <w:r>
        <w:rPr>
          <w:rFonts w:hint="eastAsia" w:ascii="仿宋_GB2312" w:hAnsi="黑体" w:eastAsia="仿宋_GB2312" w:cs="宋体"/>
          <w:bCs/>
          <w:color w:val="auto"/>
          <w:kern w:val="0"/>
          <w:sz w:val="32"/>
          <w:szCs w:val="32"/>
          <w:lang w:val="en-US" w:eastAsia="zh-CN"/>
        </w:rPr>
        <w:t>主要职能</w:t>
      </w:r>
    </w:p>
    <w:p>
      <w:pPr>
        <w:widowControl/>
        <w:spacing w:line="560" w:lineRule="exact"/>
        <w:ind w:firstLine="640" w:firstLineChars="200"/>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（一）维护党的章程和其他党内法规，检查党的路线、方针、</w:t>
      </w:r>
    </w:p>
    <w:p>
      <w:pPr>
        <w:widowControl/>
        <w:spacing w:line="560" w:lineRule="exact"/>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政策、决议的执行情况；协助若羌县党委推进全面从严治党、加强党风建设和组织协调反腐败工作。</w:t>
      </w:r>
    </w:p>
    <w:p>
      <w:pPr>
        <w:widowControl/>
        <w:spacing w:line="560" w:lineRule="exact"/>
        <w:ind w:firstLine="640" w:firstLineChars="200"/>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(二)依照党的章程和其他党内法规履行监督、执纪、问责职</w:t>
      </w:r>
    </w:p>
    <w:p>
      <w:pPr>
        <w:widowControl/>
        <w:spacing w:line="560" w:lineRule="exact"/>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责。负责经常对党员进行遵守纪律的教育，作出关于维护党纪的决定;对若羌县党委工作部门、若羌县党委批准设立的党组(党委)，各乡镇党委、纪委等党的组织和若羌县党委管理的党员领导干部履行职责、行使权力进行监督，受理处置党员群众检举举报、开展谈话提醒、约谈函询;检查和处理上述党的组织和党员违反党的章程和其他党内法规的比较重要或者复杂的案件，决定或取消对这些案件中的党员的处分;进行问责或者提出责任追究的建议;受理党员的控告和申述;保障党员的权利。</w:t>
      </w:r>
    </w:p>
    <w:p>
      <w:pPr>
        <w:widowControl/>
        <w:spacing w:line="560" w:lineRule="exact"/>
        <w:ind w:firstLine="640" w:firstLineChars="200"/>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 xml:space="preserve"> (三)在若羌县党委领导下组织开展巡察工作。配合若羌县党委巡察工作领导小组指导各乡镇、各单位做好巡察工作，督促若羌县党委有关部门、若羌县人民政府有关部门以及各乡镇落实巡视巡察反馈问题的整改工作。</w:t>
      </w:r>
    </w:p>
    <w:p>
      <w:pPr>
        <w:widowControl/>
        <w:spacing w:line="560" w:lineRule="exact"/>
        <w:ind w:firstLine="640" w:firstLineChars="200"/>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 xml:space="preserve"> （四）负责若羌县监察工作。贯彻落实自治州党委、自治州监委和若羌县党委关于监察工作的决定，维护宪法法律，依法对若羌县党委管理的行使公权力的公职人员进行监察，调查职务违法和职务犯罪，开展廉政建设和反腐败工作。</w:t>
      </w:r>
    </w:p>
    <w:p>
      <w:pPr>
        <w:widowControl/>
        <w:spacing w:line="560" w:lineRule="exact"/>
        <w:ind w:firstLine="640" w:firstLineChars="200"/>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(五)依照法律规定履行监督、调查、处置职责。对若羌县党</w:t>
      </w:r>
    </w:p>
    <w:p>
      <w:pPr>
        <w:widowControl/>
        <w:spacing w:line="560" w:lineRule="exact"/>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委管理的行使公权力的公职人员落实党中央治疆方略、聚焦维护社会稳定和长治久安总目标，推进开展廉政教育；对涉嫌贪污贿</w:t>
      </w:r>
    </w:p>
    <w:p>
      <w:pPr>
        <w:widowControl/>
        <w:spacing w:line="560" w:lineRule="exact"/>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赂、滥用职权、玩忽职守以及浪费国家资财等职务违法和职务犯</w:t>
      </w:r>
    </w:p>
    <w:p>
      <w:pPr>
        <w:widowControl/>
        <w:spacing w:line="560" w:lineRule="exact"/>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罪进行调查，对违法的公职人员依法作出政务处分决定；对履行</w:t>
      </w:r>
    </w:p>
    <w:p>
      <w:pPr>
        <w:widowControl/>
        <w:spacing w:line="560" w:lineRule="exact"/>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 xml:space="preserve">职责不力、失职失责的领导干部任用进行问责。 </w:t>
      </w:r>
    </w:p>
    <w:p>
      <w:pPr>
        <w:widowControl/>
        <w:spacing w:line="560" w:lineRule="exact"/>
        <w:ind w:firstLine="640" w:firstLineChars="200"/>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（六）负责综合分析若羌县全面从严治党、党风廉政建设和</w:t>
      </w:r>
    </w:p>
    <w:p>
      <w:pPr>
        <w:widowControl/>
        <w:spacing w:line="560" w:lineRule="exact"/>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反腐败工作情况，对纪检监察工作重要理论及实践问题进行调查</w:t>
      </w:r>
    </w:p>
    <w:p>
      <w:pPr>
        <w:widowControl/>
        <w:spacing w:line="560" w:lineRule="exact"/>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研究；提出全县纪检监察制度建设规划、计划和建议，修改全县</w:t>
      </w:r>
    </w:p>
    <w:p>
      <w:pPr>
        <w:widowControl/>
        <w:spacing w:line="560" w:lineRule="exact"/>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纪检监察规范性文件。</w:t>
      </w:r>
    </w:p>
    <w:p>
      <w:pPr>
        <w:widowControl/>
        <w:spacing w:line="560" w:lineRule="exact"/>
        <w:ind w:firstLine="640" w:firstLineChars="200"/>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（七）负责配合自治州纪委监委做好反腐败国际追逃追赃和</w:t>
      </w:r>
    </w:p>
    <w:p>
      <w:pPr>
        <w:widowControl/>
        <w:spacing w:line="560" w:lineRule="exact"/>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防逃工作，督促有关单位做好相关工作。</w:t>
      </w:r>
    </w:p>
    <w:p>
      <w:pPr>
        <w:widowControl/>
        <w:spacing w:line="560" w:lineRule="exact"/>
        <w:ind w:firstLine="640" w:firstLineChars="200"/>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（八）根据干部管理权限，负责若羌县纪检监察系统领导班</w:t>
      </w:r>
    </w:p>
    <w:p>
      <w:pPr>
        <w:widowControl/>
        <w:spacing w:line="560" w:lineRule="exact"/>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子建设、干部队伍建设和组织建设的综合规划、调查研究、制度</w:t>
      </w:r>
    </w:p>
    <w:p>
      <w:pPr>
        <w:widowControl/>
        <w:spacing w:line="560" w:lineRule="exact"/>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建设和业务指导；会同有关方面做好若羌县纪委监委派驻（派出）</w:t>
      </w:r>
    </w:p>
    <w:p>
      <w:pPr>
        <w:widowControl/>
        <w:spacing w:line="560" w:lineRule="exact"/>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机构、各乡镇纪检监察机关、国有企业纪检监察机构领导班子建</w:t>
      </w:r>
    </w:p>
    <w:p>
      <w:pPr>
        <w:widowControl/>
        <w:spacing w:line="560" w:lineRule="exact"/>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设有关工作；组织和指导纪检监察系统干部教育培训工作等。</w:t>
      </w:r>
    </w:p>
    <w:p>
      <w:pPr>
        <w:widowControl/>
        <w:spacing w:line="560" w:lineRule="exact"/>
        <w:ind w:firstLine="640" w:firstLineChars="200"/>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（九）承担本部门党的建设、党风廉政和反腐败、精神文明、</w:t>
      </w:r>
    </w:p>
    <w:p>
      <w:pPr>
        <w:widowControl/>
        <w:spacing w:line="560" w:lineRule="exact"/>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维护稳定、综合治理、民族团结、安全生产等工作。</w:t>
      </w:r>
    </w:p>
    <w:p>
      <w:pPr>
        <w:widowControl/>
        <w:spacing w:line="560" w:lineRule="exact"/>
        <w:ind w:firstLine="640" w:firstLineChars="200"/>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（十）完成自治州纪委监委和若羌县党委交办的其他事项。</w:t>
      </w:r>
    </w:p>
    <w:permEnd w:id="0"/>
    <w:p>
      <w:pPr>
        <w:widowControl/>
        <w:spacing w:line="560" w:lineRule="exact"/>
        <w:jc w:val="left"/>
        <w:rPr>
          <w:rFonts w:ascii="仿宋_GB2312" w:hAnsi="黑体" w:eastAsia="仿宋_GB2312" w:cs="宋体"/>
          <w:b/>
          <w:bCs/>
          <w:color w:val="auto"/>
          <w:kern w:val="0"/>
          <w:sz w:val="32"/>
          <w:szCs w:val="32"/>
        </w:rPr>
      </w:pPr>
      <w:r>
        <w:rPr>
          <w:rFonts w:hint="eastAsia" w:ascii="仿宋_GB2312" w:hAnsi="宋体" w:eastAsia="仿宋_GB2312" w:cs="宋体"/>
          <w:color w:val="auto"/>
          <w:kern w:val="0"/>
          <w:sz w:val="32"/>
          <w:szCs w:val="32"/>
        </w:rPr>
        <w:t xml:space="preserve">　  </w:t>
      </w:r>
      <w:r>
        <w:rPr>
          <w:rFonts w:hint="eastAsia" w:ascii="黑体" w:hAnsi="黑体" w:eastAsia="黑体" w:cs="宋体"/>
          <w:bCs/>
          <w:color w:val="auto"/>
          <w:kern w:val="0"/>
          <w:sz w:val="32"/>
          <w:szCs w:val="32"/>
        </w:rPr>
        <w:t>二、机构设置及人员情况</w:t>
      </w:r>
    </w:p>
    <w:p>
      <w:pPr>
        <w:widowControl/>
        <w:spacing w:line="560" w:lineRule="exact"/>
        <w:ind w:firstLine="640" w:firstLineChars="200"/>
        <w:jc w:val="left"/>
        <w:rPr>
          <w:rFonts w:hint="eastAsia" w:ascii="仿宋_GB2312" w:hAnsi="黑体" w:eastAsia="仿宋_GB2312" w:cs="宋体"/>
          <w:bCs/>
          <w:color w:val="auto"/>
          <w:kern w:val="0"/>
          <w:sz w:val="32"/>
          <w:szCs w:val="32"/>
          <w:lang w:val="en-US" w:eastAsia="zh-CN"/>
        </w:rPr>
      </w:pPr>
      <w:permStart w:id="1" w:edGrp="everyone"/>
      <w:r>
        <w:rPr>
          <w:rFonts w:hint="eastAsia" w:ascii="仿宋_GB2312" w:hAnsi="黑体" w:eastAsia="仿宋_GB2312" w:cs="宋体"/>
          <w:bCs/>
          <w:color w:val="auto"/>
          <w:kern w:val="0"/>
          <w:sz w:val="32"/>
          <w:szCs w:val="32"/>
          <w:lang w:val="en-US" w:eastAsia="zh-CN"/>
        </w:rPr>
        <w:t>中共若羌县纪律检查委员会无下属预算单位，下设 8 个科室、6 个派驻纪检监察组、1 个派出机构。</w:t>
      </w:r>
    </w:p>
    <w:p>
      <w:pPr>
        <w:widowControl/>
        <w:spacing w:line="560" w:lineRule="exact"/>
        <w:ind w:firstLine="640" w:firstLineChars="200"/>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8个科室分别是：办公室、第一纪检监察室、第二纪检监察室、信访室、案件审理室、组宣部、党风政风监督室、案件监督管理室。</w:t>
      </w:r>
    </w:p>
    <w:p>
      <w:pPr>
        <w:widowControl/>
        <w:spacing w:line="560" w:lineRule="exact"/>
        <w:ind w:firstLine="640" w:firstLineChars="200"/>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6个派驻纪检监察组分别是：若羌县纪委监委第一纪检监察组、若羌县纪委监委第二纪检监察组、若羌县纪委监委第三纪检监察组、若羌县纪委监委第四纪检监察组、若羌县纪委监委第五纪检监察组、若羌县纪委监委第六纪检监察组。</w:t>
      </w:r>
    </w:p>
    <w:p>
      <w:pPr>
        <w:widowControl/>
        <w:spacing w:line="560" w:lineRule="exact"/>
        <w:ind w:firstLine="640" w:firstLineChars="200"/>
        <w:jc w:val="left"/>
        <w:rPr>
          <w:rFonts w:hint="default"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1个派出机构是若羌县党委直属机关纪检监察工委</w:t>
      </w:r>
    </w:p>
    <w:p>
      <w:pPr>
        <w:widowControl/>
        <w:spacing w:line="560" w:lineRule="exact"/>
        <w:ind w:firstLine="640" w:firstLineChars="200"/>
        <w:jc w:val="left"/>
        <w:rPr>
          <w:rFonts w:hint="eastAsia" w:ascii="仿宋_GB2312" w:hAnsi="黑体" w:eastAsia="仿宋_GB2312" w:cs="宋体"/>
          <w:bCs/>
          <w:color w:val="auto"/>
          <w:kern w:val="0"/>
          <w:sz w:val="32"/>
          <w:szCs w:val="32"/>
          <w:lang w:val="en-US" w:eastAsia="zh-CN"/>
        </w:rPr>
      </w:pPr>
      <w:r>
        <w:rPr>
          <w:rFonts w:hint="eastAsia" w:ascii="仿宋_GB2312" w:hAnsi="黑体" w:eastAsia="仿宋_GB2312" w:cs="宋体"/>
          <w:bCs/>
          <w:color w:val="auto"/>
          <w:kern w:val="0"/>
          <w:sz w:val="32"/>
          <w:szCs w:val="32"/>
          <w:lang w:val="en-US" w:eastAsia="zh-CN"/>
        </w:rPr>
        <w:t>若羌县纪律检查委员会部门编制数 85人，实有人数 78 人，其中：在职 76人，增加4人； 退休 2 人，增加 0 人；离休 0 人，增加 0 人</w:t>
      </w:r>
    </w:p>
    <w:permEnd w:id="1"/>
    <w:p>
      <w:pPr>
        <w:widowControl/>
        <w:spacing w:line="560" w:lineRule="exact"/>
        <w:ind w:firstLine="640"/>
        <w:jc w:val="left"/>
        <w:rPr>
          <w:rFonts w:ascii="黑体" w:hAnsi="黑体" w:eastAsia="黑体"/>
          <w:color w:val="auto"/>
          <w:kern w:val="0"/>
          <w:sz w:val="32"/>
          <w:szCs w:val="32"/>
        </w:rPr>
      </w:pPr>
    </w:p>
    <w:p>
      <w:pPr>
        <w:widowControl/>
        <w:spacing w:line="280" w:lineRule="exact"/>
        <w:jc w:val="left"/>
        <w:outlineLvl w:val="1"/>
        <w:rPr>
          <w:rFonts w:ascii="仿宋_GB2312" w:hAnsi="宋体" w:eastAsia="仿宋_GB2312"/>
          <w:color w:val="auto"/>
          <w:kern w:val="0"/>
          <w:sz w:val="32"/>
          <w:szCs w:val="32"/>
        </w:rPr>
        <w:sectPr>
          <w:footerReference r:id="rId3" w:type="default"/>
          <w:footerReference r:id="rId4" w:type="even"/>
          <w:pgSz w:w="11906" w:h="16838"/>
          <w:pgMar w:top="2098" w:right="1418" w:bottom="1928" w:left="1588" w:header="851" w:footer="992" w:gutter="0"/>
          <w:pgNumType w:fmt="numberInDash"/>
          <w:cols w:space="720" w:num="1"/>
          <w:docGrid w:linePitch="312" w:charSpace="0"/>
        </w:sectPr>
      </w:pPr>
    </w:p>
    <w:p>
      <w:pPr>
        <w:spacing w:line="560" w:lineRule="exact"/>
        <w:jc w:val="center"/>
        <w:rPr>
          <w:rFonts w:ascii="黑体" w:hAnsi="黑体" w:eastAsia="黑体"/>
          <w:color w:val="auto"/>
          <w:kern w:val="0"/>
          <w:sz w:val="32"/>
          <w:szCs w:val="32"/>
        </w:rPr>
      </w:pPr>
      <w:r>
        <w:rPr>
          <w:rFonts w:hint="eastAsia" w:ascii="黑体" w:hAnsi="黑体" w:eastAsia="黑体"/>
          <w:color w:val="auto"/>
          <w:kern w:val="0"/>
          <w:sz w:val="32"/>
          <w:szCs w:val="32"/>
        </w:rPr>
        <w:t>第三部分  2022年</w:t>
      </w:r>
      <w:r>
        <w:rPr>
          <w:rFonts w:hint="eastAsia" w:ascii="黑体" w:hAnsi="黑体" w:eastAsia="黑体"/>
          <w:color w:val="auto"/>
          <w:kern w:val="0"/>
          <w:sz w:val="32"/>
          <w:szCs w:val="32"/>
          <w:lang w:eastAsia="zh-CN"/>
        </w:rPr>
        <w:t>部门</w:t>
      </w:r>
      <w:r>
        <w:rPr>
          <w:rFonts w:hint="eastAsia" w:ascii="黑体" w:hAnsi="黑体" w:eastAsia="黑体"/>
          <w:color w:val="auto"/>
          <w:kern w:val="0"/>
          <w:sz w:val="32"/>
          <w:szCs w:val="32"/>
        </w:rPr>
        <w:t>预算情况说明</w:t>
      </w:r>
    </w:p>
    <w:p>
      <w:pPr>
        <w:spacing w:line="560" w:lineRule="exact"/>
        <w:jc w:val="center"/>
        <w:rPr>
          <w:rFonts w:ascii="黑体" w:hAnsi="黑体" w:eastAsia="黑体"/>
          <w:color w:val="auto"/>
          <w:kern w:val="0"/>
          <w:sz w:val="32"/>
          <w:szCs w:val="32"/>
        </w:rPr>
      </w:pPr>
    </w:p>
    <w:p>
      <w:pPr>
        <w:spacing w:line="560" w:lineRule="exact"/>
        <w:ind w:firstLine="640" w:firstLineChars="200"/>
        <w:rPr>
          <w:rFonts w:ascii="黑体" w:hAnsi="宋体" w:eastAsia="黑体" w:cs="宋体"/>
          <w:color w:val="auto"/>
          <w:kern w:val="0"/>
          <w:sz w:val="32"/>
          <w:szCs w:val="32"/>
        </w:rPr>
      </w:pPr>
      <w:r>
        <w:rPr>
          <w:rFonts w:hint="eastAsia" w:ascii="黑体" w:hAnsi="黑体" w:eastAsia="黑体" w:cs="宋体"/>
          <w:bCs/>
          <w:color w:val="auto"/>
          <w:kern w:val="0"/>
          <w:sz w:val="32"/>
          <w:szCs w:val="32"/>
        </w:rPr>
        <w:t>一、</w:t>
      </w:r>
      <w:r>
        <w:rPr>
          <w:rFonts w:hint="eastAsia" w:ascii="黑体" w:hAnsi="宋体" w:eastAsia="黑体" w:cs="宋体"/>
          <w:color w:val="auto"/>
          <w:kern w:val="0"/>
          <w:sz w:val="32"/>
          <w:szCs w:val="32"/>
        </w:rPr>
        <w:t>关于</w:t>
      </w:r>
      <w:r>
        <w:rPr>
          <w:rFonts w:hint="eastAsia" w:ascii="黑体" w:hAnsi="宋体" w:eastAsia="黑体" w:cs="宋体"/>
          <w:color w:val="auto"/>
          <w:kern w:val="0"/>
          <w:sz w:val="32"/>
          <w:szCs w:val="32"/>
          <w:lang w:eastAsia="zh-CN"/>
        </w:rPr>
        <w:t>中共若羌县纪律检查委员会部门</w:t>
      </w:r>
      <w:r>
        <w:rPr>
          <w:rFonts w:hint="eastAsia" w:ascii="黑体" w:hAnsi="宋体" w:eastAsia="黑体" w:cs="宋体"/>
          <w:color w:val="auto"/>
          <w:kern w:val="0"/>
          <w:sz w:val="32"/>
          <w:szCs w:val="32"/>
        </w:rPr>
        <w:t>2022年收支预算情况的总体说明</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按照全口径预算的原则，</w:t>
      </w:r>
      <w:r>
        <w:rPr>
          <w:rFonts w:hint="eastAsia" w:ascii="仿宋_GB2312" w:hAnsi="宋体" w:eastAsia="仿宋_GB2312" w:cs="宋体"/>
          <w:color w:val="auto"/>
          <w:kern w:val="0"/>
          <w:sz w:val="32"/>
          <w:szCs w:val="32"/>
          <w:lang w:eastAsia="zh-CN"/>
        </w:rPr>
        <w:t>中共若羌县纪律检查委员会部门</w:t>
      </w:r>
      <w:r>
        <w:rPr>
          <w:rFonts w:hint="eastAsia" w:ascii="仿宋_GB2312" w:hAnsi="宋体" w:eastAsia="仿宋_GB2312" w:cs="宋体"/>
          <w:color w:val="auto"/>
          <w:kern w:val="0"/>
          <w:sz w:val="32"/>
          <w:szCs w:val="32"/>
        </w:rPr>
        <w:t>2022年所有收入和支出均纳入</w:t>
      </w:r>
      <w:r>
        <w:rPr>
          <w:rFonts w:hint="eastAsia" w:ascii="仿宋_GB2312" w:hAnsi="宋体" w:eastAsia="仿宋_GB2312" w:cs="宋体"/>
          <w:color w:val="auto"/>
          <w:kern w:val="0"/>
          <w:sz w:val="32"/>
          <w:szCs w:val="32"/>
          <w:lang w:eastAsia="zh-CN"/>
        </w:rPr>
        <w:t>中共若羌县纪律检查委员会部门</w:t>
      </w:r>
      <w:r>
        <w:rPr>
          <w:rFonts w:hint="eastAsia" w:ascii="仿宋_GB2312" w:hAnsi="宋体" w:eastAsia="仿宋_GB2312" w:cs="宋体"/>
          <w:color w:val="auto"/>
          <w:kern w:val="0"/>
          <w:sz w:val="32"/>
          <w:szCs w:val="32"/>
        </w:rPr>
        <w:t>预算管理。收支总预算</w:t>
      </w:r>
      <w:r>
        <w:rPr>
          <w:rFonts w:hint="eastAsia" w:ascii="仿宋_GB2312" w:hAnsi="宋体" w:eastAsia="仿宋_GB2312" w:cs="宋体"/>
          <w:color w:val="auto"/>
          <w:kern w:val="0"/>
          <w:sz w:val="32"/>
          <w:szCs w:val="32"/>
          <w:lang w:eastAsia="zh-CN"/>
        </w:rPr>
        <w:t>1517.94</w:t>
      </w:r>
      <w:r>
        <w:rPr>
          <w:rFonts w:hint="eastAsia" w:ascii="仿宋_GB2312" w:hAnsi="宋体" w:eastAsia="仿宋_GB2312" w:cs="宋体"/>
          <w:color w:val="auto"/>
          <w:kern w:val="0"/>
          <w:sz w:val="32"/>
          <w:szCs w:val="32"/>
        </w:rPr>
        <w:t>万元。</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收入预算包括：</w:t>
      </w:r>
      <w:r>
        <w:rPr>
          <w:rFonts w:hint="eastAsia" w:ascii="仿宋_GB2312" w:hAnsi="宋体" w:eastAsia="仿宋_GB2312" w:cs="宋体"/>
          <w:color w:val="auto"/>
          <w:kern w:val="0"/>
          <w:sz w:val="32"/>
          <w:szCs w:val="32"/>
          <w:lang w:eastAsia="zh-CN"/>
        </w:rPr>
        <w:t>一般公共预算资金</w:t>
      </w:r>
      <w:r>
        <w:rPr>
          <w:rFonts w:hint="eastAsia" w:ascii="仿宋_GB2312" w:hAnsi="宋体" w:eastAsia="仿宋_GB2312" w:cs="宋体"/>
          <w:color w:val="auto"/>
          <w:kern w:val="0"/>
          <w:sz w:val="32"/>
          <w:szCs w:val="32"/>
        </w:rPr>
        <w:t>。</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支出预算包括：</w:t>
      </w:r>
      <w:r>
        <w:rPr>
          <w:rFonts w:hint="eastAsia" w:ascii="仿宋_GB2312" w:hAnsi="宋体" w:eastAsia="仿宋_GB2312" w:cs="宋体"/>
          <w:color w:val="auto"/>
          <w:kern w:val="0"/>
          <w:sz w:val="32"/>
          <w:szCs w:val="32"/>
          <w:lang w:eastAsia="zh-CN"/>
        </w:rPr>
        <w:t>一般公共服务支出、社会保障和就业支出、医疗卫生健康支出、住房保障支出</w:t>
      </w:r>
      <w:r>
        <w:rPr>
          <w:rFonts w:hint="eastAsia" w:ascii="仿宋_GB2312" w:hAnsi="宋体" w:eastAsia="仿宋_GB2312" w:cs="宋体"/>
          <w:color w:val="auto"/>
          <w:kern w:val="0"/>
          <w:sz w:val="32"/>
          <w:szCs w:val="32"/>
        </w:rPr>
        <w:t>。</w:t>
      </w:r>
    </w:p>
    <w:p>
      <w:pPr>
        <w:spacing w:line="560" w:lineRule="exact"/>
        <w:ind w:firstLine="640" w:firstLineChars="200"/>
        <w:rPr>
          <w:rFonts w:ascii="黑体" w:hAnsi="宋体" w:eastAsia="黑体" w:cs="宋体"/>
          <w:color w:val="auto"/>
          <w:kern w:val="0"/>
          <w:sz w:val="32"/>
          <w:szCs w:val="32"/>
        </w:rPr>
      </w:pPr>
      <w:r>
        <w:rPr>
          <w:rFonts w:hint="eastAsia" w:ascii="黑体" w:hAnsi="宋体" w:eastAsia="黑体" w:cs="宋体"/>
          <w:color w:val="auto"/>
          <w:kern w:val="0"/>
          <w:sz w:val="32"/>
          <w:szCs w:val="32"/>
        </w:rPr>
        <w:t>二、关于</w:t>
      </w:r>
      <w:r>
        <w:rPr>
          <w:rFonts w:hint="eastAsia" w:ascii="黑体" w:hAnsi="宋体" w:eastAsia="黑体" w:cs="宋体"/>
          <w:color w:val="auto"/>
          <w:kern w:val="0"/>
          <w:sz w:val="32"/>
          <w:szCs w:val="32"/>
          <w:lang w:eastAsia="zh-CN"/>
        </w:rPr>
        <w:t>中共若羌县纪律检查委员会部门</w:t>
      </w:r>
      <w:r>
        <w:rPr>
          <w:rFonts w:hint="eastAsia" w:ascii="黑体" w:hAnsi="宋体" w:eastAsia="黑体" w:cs="宋体"/>
          <w:color w:val="auto"/>
          <w:kern w:val="0"/>
          <w:sz w:val="32"/>
          <w:szCs w:val="32"/>
        </w:rPr>
        <w:t>2022年收入预算情况说明</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中共若羌县纪律检查委员会部门</w:t>
      </w:r>
      <w:r>
        <w:rPr>
          <w:rFonts w:hint="eastAsia" w:ascii="仿宋_GB2312" w:hAnsi="宋体" w:eastAsia="仿宋_GB2312" w:cs="宋体"/>
          <w:color w:val="auto"/>
          <w:kern w:val="0"/>
          <w:sz w:val="32"/>
          <w:szCs w:val="32"/>
        </w:rPr>
        <w:t>收入预算</w:t>
      </w:r>
      <w:r>
        <w:rPr>
          <w:rFonts w:hint="eastAsia" w:ascii="仿宋_GB2312" w:hAnsi="宋体" w:eastAsia="仿宋_GB2312" w:cs="宋体"/>
          <w:color w:val="auto"/>
          <w:kern w:val="0"/>
          <w:sz w:val="32"/>
          <w:szCs w:val="32"/>
          <w:lang w:eastAsia="zh-CN"/>
        </w:rPr>
        <w:t>1517.94</w:t>
      </w:r>
      <w:r>
        <w:rPr>
          <w:rFonts w:hint="eastAsia" w:ascii="仿宋_GB2312" w:hAnsi="宋体" w:eastAsia="仿宋_GB2312" w:cs="宋体"/>
          <w:color w:val="auto"/>
          <w:kern w:val="0"/>
          <w:sz w:val="32"/>
          <w:szCs w:val="32"/>
        </w:rPr>
        <w:t>万元，其中：</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一般公共预算</w:t>
      </w:r>
      <w:r>
        <w:rPr>
          <w:rFonts w:hint="eastAsia" w:ascii="仿宋_GB2312" w:hAnsi="宋体" w:eastAsia="仿宋_GB2312" w:cs="宋体"/>
          <w:color w:val="auto"/>
          <w:kern w:val="0"/>
          <w:sz w:val="32"/>
          <w:szCs w:val="32"/>
          <w:lang w:eastAsia="zh-CN"/>
        </w:rPr>
        <w:t>1517.94</w:t>
      </w:r>
      <w:r>
        <w:rPr>
          <w:rFonts w:hint="eastAsia" w:ascii="仿宋_GB2312" w:hAnsi="宋体" w:eastAsia="仿宋_GB2312" w:cs="宋体"/>
          <w:color w:val="auto"/>
          <w:kern w:val="0"/>
          <w:sz w:val="32"/>
          <w:szCs w:val="32"/>
        </w:rPr>
        <w:t>万元，占</w:t>
      </w:r>
      <w:r>
        <w:rPr>
          <w:rFonts w:hint="eastAsia" w:ascii="仿宋_GB2312" w:hAnsi="宋体" w:eastAsia="仿宋_GB2312" w:cs="宋体"/>
          <w:color w:val="auto"/>
          <w:kern w:val="0"/>
          <w:sz w:val="32"/>
          <w:szCs w:val="32"/>
          <w:lang w:eastAsia="zh-CN"/>
        </w:rPr>
        <w:t>100%</w:t>
      </w:r>
      <w:r>
        <w:rPr>
          <w:rFonts w:hint="eastAsia" w:ascii="仿宋_GB2312" w:hAnsi="宋体" w:eastAsia="仿宋_GB2312" w:cs="宋体"/>
          <w:color w:val="auto"/>
          <w:kern w:val="0"/>
          <w:sz w:val="32"/>
          <w:szCs w:val="32"/>
        </w:rPr>
        <w:t>，比上年预算</w:t>
      </w:r>
      <w:r>
        <w:rPr>
          <w:rFonts w:hint="eastAsia" w:ascii="仿宋_GB2312" w:hAnsi="宋体" w:eastAsia="仿宋_GB2312" w:cs="宋体"/>
          <w:color w:val="auto"/>
          <w:kern w:val="0"/>
          <w:sz w:val="32"/>
          <w:szCs w:val="32"/>
          <w:lang w:eastAsia="zh-CN"/>
        </w:rPr>
        <w:t>减少147.86</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val="en-US" w:eastAsia="zh-CN"/>
        </w:rPr>
        <w:t>下降8.88%,</w:t>
      </w:r>
      <w:r>
        <w:rPr>
          <w:rFonts w:hint="eastAsia" w:ascii="仿宋_GB2312" w:hAnsi="宋体" w:eastAsia="仿宋_GB2312" w:cs="宋体"/>
          <w:color w:val="auto"/>
          <w:kern w:val="0"/>
          <w:sz w:val="32"/>
          <w:szCs w:val="32"/>
        </w:rPr>
        <w:t>主要原因是</w:t>
      </w:r>
      <w:permStart w:id="2" w:edGrp="everyone"/>
      <w:r>
        <w:rPr>
          <w:rFonts w:hint="eastAsia" w:ascii="仿宋_GB2312" w:hAnsi="黑体" w:eastAsia="仿宋_GB2312" w:cs="宋体"/>
          <w:bCs/>
          <w:color w:val="auto"/>
          <w:kern w:val="0"/>
          <w:sz w:val="32"/>
          <w:szCs w:val="32"/>
          <w:lang w:val="en-US" w:eastAsia="zh-CN"/>
        </w:rPr>
        <w:t>部分项目已实施完成，本年度减少项目支出安排</w:t>
      </w:r>
      <w:permEnd w:id="2"/>
      <w:r>
        <w:rPr>
          <w:rFonts w:hint="eastAsia" w:ascii="仿宋_GB2312" w:hAnsi="宋体" w:eastAsia="仿宋_GB2312" w:cs="宋体"/>
          <w:color w:val="auto"/>
          <w:kern w:val="0"/>
          <w:sz w:val="32"/>
          <w:szCs w:val="32"/>
        </w:rPr>
        <w:t xml:space="preserve">。    </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政府性基金预算未安排</w:t>
      </w:r>
      <w:r>
        <w:rPr>
          <w:rFonts w:hint="eastAsia" w:ascii="仿宋_GB2312" w:hAnsi="宋体" w:eastAsia="仿宋_GB2312" w:cs="宋体"/>
          <w:color w:val="auto"/>
          <w:kern w:val="0"/>
          <w:sz w:val="32"/>
          <w:szCs w:val="32"/>
        </w:rPr>
        <w:t>。</w:t>
      </w:r>
    </w:p>
    <w:p>
      <w:pPr>
        <w:spacing w:line="560" w:lineRule="exact"/>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eastAsia="zh-CN"/>
        </w:rPr>
        <w:t>国有资本经营预算未安排。</w:t>
      </w:r>
    </w:p>
    <w:p>
      <w:pPr>
        <w:spacing w:line="560" w:lineRule="exact"/>
        <w:ind w:firstLine="640" w:firstLineChars="200"/>
        <w:rPr>
          <w:rFonts w:ascii="黑体" w:hAnsi="宋体" w:eastAsia="黑体" w:cs="宋体"/>
          <w:color w:val="auto"/>
          <w:kern w:val="0"/>
          <w:sz w:val="32"/>
          <w:szCs w:val="32"/>
        </w:rPr>
      </w:pPr>
      <w:r>
        <w:rPr>
          <w:rFonts w:hint="eastAsia" w:ascii="黑体" w:hAnsi="宋体" w:eastAsia="黑体" w:cs="宋体"/>
          <w:color w:val="auto"/>
          <w:kern w:val="0"/>
          <w:sz w:val="32"/>
          <w:szCs w:val="32"/>
        </w:rPr>
        <w:t>三、关于</w:t>
      </w:r>
      <w:r>
        <w:rPr>
          <w:rFonts w:hint="eastAsia" w:ascii="黑体" w:hAnsi="宋体" w:eastAsia="黑体" w:cs="宋体"/>
          <w:color w:val="auto"/>
          <w:kern w:val="0"/>
          <w:sz w:val="32"/>
          <w:szCs w:val="32"/>
          <w:lang w:eastAsia="zh-CN"/>
        </w:rPr>
        <w:t>中共若羌县纪律检查委员会部门</w:t>
      </w:r>
      <w:r>
        <w:rPr>
          <w:rFonts w:hint="eastAsia" w:ascii="黑体" w:hAnsi="宋体" w:eastAsia="黑体" w:cs="宋体"/>
          <w:color w:val="auto"/>
          <w:kern w:val="0"/>
          <w:sz w:val="32"/>
          <w:szCs w:val="32"/>
        </w:rPr>
        <w:t>2022年支出预算情况说明</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中共若羌县纪律检查委员会部门</w:t>
      </w:r>
      <w:r>
        <w:rPr>
          <w:rFonts w:hint="eastAsia" w:ascii="仿宋_GB2312" w:hAnsi="宋体" w:eastAsia="仿宋_GB2312" w:cs="宋体"/>
          <w:color w:val="auto"/>
          <w:kern w:val="0"/>
          <w:sz w:val="32"/>
          <w:szCs w:val="32"/>
        </w:rPr>
        <w:t>2022年支出预算</w:t>
      </w:r>
      <w:r>
        <w:rPr>
          <w:rFonts w:hint="eastAsia" w:ascii="仿宋_GB2312" w:hAnsi="宋体" w:eastAsia="仿宋_GB2312" w:cs="宋体"/>
          <w:color w:val="auto"/>
          <w:kern w:val="0"/>
          <w:sz w:val="32"/>
          <w:szCs w:val="32"/>
          <w:lang w:eastAsia="zh-CN"/>
        </w:rPr>
        <w:t>1517.94</w:t>
      </w:r>
      <w:r>
        <w:rPr>
          <w:rFonts w:hint="eastAsia" w:ascii="仿宋_GB2312" w:hAnsi="宋体" w:eastAsia="仿宋_GB2312" w:cs="宋体"/>
          <w:color w:val="auto"/>
          <w:kern w:val="0"/>
          <w:sz w:val="32"/>
          <w:szCs w:val="32"/>
        </w:rPr>
        <w:t>万元，其中：</w:t>
      </w:r>
    </w:p>
    <w:p>
      <w:pPr>
        <w:spacing w:line="56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基本支出</w:t>
      </w:r>
      <w:r>
        <w:rPr>
          <w:rFonts w:hint="eastAsia" w:ascii="仿宋_GB2312" w:hAnsi="宋体" w:eastAsia="仿宋_GB2312" w:cs="宋体"/>
          <w:color w:val="auto"/>
          <w:kern w:val="0"/>
          <w:sz w:val="32"/>
          <w:szCs w:val="32"/>
          <w:lang w:eastAsia="zh-CN"/>
        </w:rPr>
        <w:t>1217.88</w:t>
      </w:r>
      <w:r>
        <w:rPr>
          <w:rFonts w:hint="eastAsia" w:ascii="仿宋_GB2312" w:hAnsi="宋体" w:eastAsia="仿宋_GB2312" w:cs="宋体"/>
          <w:color w:val="auto"/>
          <w:kern w:val="0"/>
          <w:sz w:val="32"/>
          <w:szCs w:val="32"/>
        </w:rPr>
        <w:t>万元，占</w:t>
      </w:r>
      <w:r>
        <w:rPr>
          <w:rFonts w:hint="eastAsia" w:ascii="仿宋_GB2312" w:hAnsi="宋体" w:eastAsia="仿宋_GB2312" w:cs="宋体"/>
          <w:color w:val="auto"/>
          <w:kern w:val="0"/>
          <w:sz w:val="32"/>
          <w:szCs w:val="32"/>
          <w:lang w:eastAsia="zh-CN"/>
        </w:rPr>
        <w:t>80.23%</w:t>
      </w:r>
      <w:r>
        <w:rPr>
          <w:rFonts w:hint="eastAsia" w:ascii="仿宋_GB2312" w:hAnsi="宋体" w:eastAsia="仿宋_GB2312" w:cs="宋体"/>
          <w:color w:val="auto"/>
          <w:kern w:val="0"/>
          <w:sz w:val="32"/>
          <w:szCs w:val="32"/>
        </w:rPr>
        <w:t>，比上年预算</w:t>
      </w:r>
      <w:r>
        <w:rPr>
          <w:rFonts w:hint="eastAsia" w:ascii="仿宋_GB2312" w:hAnsi="宋体" w:eastAsia="仿宋_GB2312" w:cs="宋体"/>
          <w:color w:val="auto"/>
          <w:kern w:val="0"/>
          <w:sz w:val="32"/>
          <w:szCs w:val="32"/>
          <w:lang w:eastAsia="zh-CN"/>
        </w:rPr>
        <w:t>减少43.92</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下降</w:t>
      </w:r>
      <w:r>
        <w:rPr>
          <w:rFonts w:hint="eastAsia" w:ascii="仿宋_GB2312" w:hAnsi="宋体" w:eastAsia="仿宋_GB2312" w:cs="宋体"/>
          <w:color w:val="auto"/>
          <w:kern w:val="0"/>
          <w:sz w:val="32"/>
          <w:szCs w:val="32"/>
          <w:lang w:val="en-US" w:eastAsia="zh-CN"/>
        </w:rPr>
        <w:t>3.48%，</w:t>
      </w:r>
      <w:r>
        <w:rPr>
          <w:rFonts w:hint="eastAsia" w:ascii="仿宋_GB2312" w:hAnsi="宋体" w:eastAsia="仿宋_GB2312" w:cs="宋体"/>
          <w:color w:val="auto"/>
          <w:kern w:val="0"/>
          <w:sz w:val="32"/>
          <w:szCs w:val="32"/>
        </w:rPr>
        <w:t>主要原因是</w:t>
      </w:r>
      <w:permStart w:id="3" w:edGrp="everyone"/>
      <w:r>
        <w:rPr>
          <w:rFonts w:hint="eastAsia" w:ascii="仿宋_GB2312" w:hAnsi="黑体" w:eastAsia="仿宋_GB2312" w:cs="宋体"/>
          <w:bCs/>
          <w:color w:val="auto"/>
          <w:kern w:val="0"/>
          <w:sz w:val="32"/>
          <w:szCs w:val="32"/>
          <w:lang w:val="en-US" w:eastAsia="zh-CN"/>
        </w:rPr>
        <w:t>部分项目已实施完成，本年度减少支出安排</w:t>
      </w:r>
      <w:permEnd w:id="3"/>
      <w:r>
        <w:rPr>
          <w:rFonts w:hint="eastAsia" w:ascii="仿宋_GB2312" w:hAnsi="宋体" w:eastAsia="仿宋_GB2312" w:cs="宋体"/>
          <w:color w:val="auto"/>
          <w:kern w:val="0"/>
          <w:sz w:val="32"/>
          <w:szCs w:val="32"/>
        </w:rPr>
        <w:t>。</w:t>
      </w:r>
    </w:p>
    <w:p>
      <w:pPr>
        <w:spacing w:line="56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项目支出</w:t>
      </w:r>
      <w:r>
        <w:rPr>
          <w:rFonts w:hint="eastAsia" w:ascii="仿宋_GB2312" w:hAnsi="宋体" w:eastAsia="仿宋_GB2312" w:cs="宋体"/>
          <w:color w:val="auto"/>
          <w:kern w:val="0"/>
          <w:sz w:val="32"/>
          <w:szCs w:val="32"/>
          <w:lang w:eastAsia="zh-CN"/>
        </w:rPr>
        <w:t>300.06</w:t>
      </w:r>
      <w:r>
        <w:rPr>
          <w:rFonts w:hint="eastAsia" w:ascii="仿宋_GB2312" w:hAnsi="宋体" w:eastAsia="仿宋_GB2312" w:cs="宋体"/>
          <w:color w:val="auto"/>
          <w:kern w:val="0"/>
          <w:sz w:val="32"/>
          <w:szCs w:val="32"/>
        </w:rPr>
        <w:t>万元，占</w:t>
      </w:r>
      <w:r>
        <w:rPr>
          <w:rFonts w:hint="eastAsia" w:ascii="仿宋_GB2312" w:hAnsi="宋体" w:eastAsia="仿宋_GB2312" w:cs="宋体"/>
          <w:color w:val="auto"/>
          <w:kern w:val="0"/>
          <w:sz w:val="32"/>
          <w:szCs w:val="32"/>
          <w:lang w:eastAsia="zh-CN"/>
        </w:rPr>
        <w:t>19.77%</w:t>
      </w:r>
      <w:r>
        <w:rPr>
          <w:rFonts w:hint="eastAsia" w:ascii="仿宋_GB2312" w:hAnsi="宋体" w:eastAsia="仿宋_GB2312" w:cs="宋体"/>
          <w:color w:val="auto"/>
          <w:kern w:val="0"/>
          <w:sz w:val="32"/>
          <w:szCs w:val="32"/>
        </w:rPr>
        <w:t>，比上年预算</w:t>
      </w:r>
      <w:r>
        <w:rPr>
          <w:rFonts w:hint="eastAsia" w:ascii="仿宋_GB2312" w:hAnsi="宋体" w:eastAsia="仿宋_GB2312" w:cs="宋体"/>
          <w:color w:val="auto"/>
          <w:kern w:val="0"/>
          <w:sz w:val="32"/>
          <w:szCs w:val="32"/>
          <w:lang w:eastAsia="zh-CN"/>
        </w:rPr>
        <w:t>减少113.84</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下降</w:t>
      </w:r>
      <w:r>
        <w:rPr>
          <w:rFonts w:hint="eastAsia" w:ascii="仿宋_GB2312" w:hAnsi="宋体" w:eastAsia="仿宋_GB2312" w:cs="宋体"/>
          <w:color w:val="auto"/>
          <w:kern w:val="0"/>
          <w:sz w:val="32"/>
          <w:szCs w:val="32"/>
          <w:lang w:val="en-US" w:eastAsia="zh-CN"/>
        </w:rPr>
        <w:t>27.50%，</w:t>
      </w:r>
      <w:r>
        <w:rPr>
          <w:rFonts w:hint="eastAsia" w:ascii="仿宋_GB2312" w:hAnsi="宋体" w:eastAsia="仿宋_GB2312" w:cs="宋体"/>
          <w:color w:val="auto"/>
          <w:kern w:val="0"/>
          <w:sz w:val="32"/>
          <w:szCs w:val="32"/>
        </w:rPr>
        <w:t>主要原因是</w:t>
      </w:r>
      <w:permStart w:id="4" w:edGrp="everyone"/>
      <w:r>
        <w:rPr>
          <w:rFonts w:hint="eastAsia" w:ascii="仿宋_GB2312" w:hAnsi="黑体" w:eastAsia="仿宋_GB2312" w:cs="宋体"/>
          <w:bCs/>
          <w:color w:val="auto"/>
          <w:kern w:val="0"/>
          <w:sz w:val="32"/>
          <w:szCs w:val="32"/>
          <w:lang w:val="en-US" w:eastAsia="zh-CN"/>
        </w:rPr>
        <w:t>部分项目已实施完成，本年度减少项目支出安排</w:t>
      </w:r>
      <w:permEnd w:id="4"/>
      <w:r>
        <w:rPr>
          <w:rFonts w:hint="eastAsia" w:ascii="仿宋_GB2312" w:hAnsi="宋体" w:eastAsia="仿宋_GB2312" w:cs="宋体"/>
          <w:color w:val="auto"/>
          <w:kern w:val="0"/>
          <w:sz w:val="32"/>
          <w:szCs w:val="32"/>
        </w:rPr>
        <w:t>。</w:t>
      </w:r>
    </w:p>
    <w:p>
      <w:pPr>
        <w:spacing w:line="560" w:lineRule="exact"/>
        <w:ind w:firstLine="640" w:firstLineChars="200"/>
        <w:rPr>
          <w:rFonts w:ascii="黑体" w:hAnsi="黑体" w:eastAsia="黑体" w:cs="宋体"/>
          <w:bCs/>
          <w:color w:val="auto"/>
          <w:kern w:val="0"/>
          <w:sz w:val="32"/>
          <w:szCs w:val="32"/>
        </w:rPr>
      </w:pPr>
      <w:r>
        <w:rPr>
          <w:rFonts w:hint="eastAsia" w:ascii="黑体" w:hAnsi="黑体" w:eastAsia="黑体" w:cs="宋体"/>
          <w:bCs/>
          <w:color w:val="auto"/>
          <w:kern w:val="0"/>
          <w:sz w:val="32"/>
          <w:szCs w:val="32"/>
        </w:rPr>
        <w:t>四、关于</w:t>
      </w:r>
      <w:r>
        <w:rPr>
          <w:rFonts w:hint="eastAsia" w:ascii="黑体" w:hAnsi="黑体" w:eastAsia="黑体" w:cs="宋体"/>
          <w:bCs/>
          <w:color w:val="auto"/>
          <w:kern w:val="0"/>
          <w:sz w:val="32"/>
          <w:szCs w:val="32"/>
          <w:lang w:eastAsia="zh-CN"/>
        </w:rPr>
        <w:t>中共若羌县纪律检查委员会部门</w:t>
      </w:r>
      <w:r>
        <w:rPr>
          <w:rFonts w:hint="eastAsia" w:ascii="黑体" w:hAnsi="黑体" w:eastAsia="黑体" w:cs="宋体"/>
          <w:bCs/>
          <w:color w:val="auto"/>
          <w:kern w:val="0"/>
          <w:sz w:val="32"/>
          <w:szCs w:val="32"/>
        </w:rPr>
        <w:t>2022年财政拨款收支预算情况的总体说明</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2022年财政拨款收支总预算</w:t>
      </w:r>
      <w:r>
        <w:rPr>
          <w:rFonts w:hint="eastAsia" w:ascii="仿宋_GB2312" w:hAnsi="宋体" w:eastAsia="仿宋_GB2312" w:cs="宋体"/>
          <w:color w:val="auto"/>
          <w:kern w:val="0"/>
          <w:sz w:val="32"/>
          <w:szCs w:val="32"/>
          <w:lang w:eastAsia="zh-CN"/>
        </w:rPr>
        <w:t>1517.94</w:t>
      </w:r>
      <w:r>
        <w:rPr>
          <w:rFonts w:hint="eastAsia" w:ascii="仿宋_GB2312" w:hAnsi="宋体" w:eastAsia="仿宋_GB2312" w:cs="宋体"/>
          <w:color w:val="auto"/>
          <w:kern w:val="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eastAsia="仿宋_GB2312" w:cs="宋体"/>
          <w:b w:val="0"/>
          <w:bCs/>
          <w:color w:val="auto"/>
          <w:spacing w:val="-4"/>
          <w:kern w:val="0"/>
          <w:sz w:val="32"/>
          <w:szCs w:val="32"/>
          <w:lang w:val="en-US" w:eastAsia="zh-CN"/>
        </w:rPr>
      </w:pPr>
      <w:r>
        <w:rPr>
          <w:rFonts w:hint="eastAsia" w:ascii="仿宋_GB2312" w:hAnsi="宋体" w:eastAsia="仿宋_GB2312" w:cs="宋体"/>
          <w:b w:val="0"/>
          <w:bCs/>
          <w:color w:val="auto"/>
          <w:spacing w:val="-4"/>
          <w:kern w:val="0"/>
          <w:sz w:val="32"/>
          <w:szCs w:val="32"/>
          <w:lang w:val="en-US" w:eastAsia="zh-CN"/>
        </w:rPr>
        <w:t>收入全部为一般公共预算拨款，无政府性基金预算拨款和国有资本经营预算。</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宋体" w:eastAsia="仿宋_GB2312" w:cs="宋体"/>
          <w:b w:val="0"/>
          <w:bCs/>
          <w:color w:val="auto"/>
          <w:spacing w:val="-4"/>
          <w:kern w:val="0"/>
          <w:sz w:val="32"/>
          <w:szCs w:val="32"/>
          <w:lang w:val="en-US" w:eastAsia="zh-CN"/>
        </w:rPr>
      </w:pPr>
      <w:r>
        <w:rPr>
          <w:rFonts w:hint="eastAsia" w:ascii="仿宋_GB2312" w:hAnsi="宋体" w:eastAsia="仿宋_GB2312" w:cs="宋体"/>
          <w:b w:val="0"/>
          <w:bCs/>
          <w:color w:val="auto"/>
          <w:spacing w:val="-4"/>
          <w:kern w:val="0"/>
          <w:sz w:val="32"/>
          <w:szCs w:val="32"/>
          <w:lang w:val="en-US" w:eastAsia="zh-CN"/>
        </w:rPr>
        <w:t>收入预算包括：一般公共预算拨款1517.94万元。</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hAnsi="宋体" w:eastAsia="仿宋_GB2312" w:cs="宋体"/>
          <w:b w:val="0"/>
          <w:bCs/>
          <w:color w:val="auto"/>
          <w:spacing w:val="-4"/>
          <w:kern w:val="0"/>
          <w:sz w:val="32"/>
          <w:szCs w:val="32"/>
          <w:lang w:val="en-US" w:eastAsia="zh-CN"/>
        </w:rPr>
      </w:pPr>
      <w:r>
        <w:rPr>
          <w:rFonts w:hint="eastAsia" w:ascii="仿宋_GB2312" w:hAnsi="宋体" w:eastAsia="仿宋_GB2312" w:cs="宋体"/>
          <w:b w:val="0"/>
          <w:bCs/>
          <w:color w:val="auto"/>
          <w:spacing w:val="-4"/>
          <w:kern w:val="0"/>
          <w:sz w:val="32"/>
          <w:szCs w:val="32"/>
          <w:lang w:val="en-US" w:eastAsia="zh-CN"/>
        </w:rPr>
        <w:t>一般公共预算支出包括：一般公共服务支出1210.55万元，主要用于:</w:t>
      </w:r>
      <w:permStart w:id="5" w:edGrp="everyone"/>
      <w:r>
        <w:rPr>
          <w:rFonts w:hint="eastAsia" w:ascii="仿宋_GB2312" w:hAnsi="宋体" w:eastAsia="仿宋_GB2312" w:cs="宋体"/>
          <w:b w:val="0"/>
          <w:bCs/>
          <w:color w:val="auto"/>
          <w:spacing w:val="-4"/>
          <w:kern w:val="0"/>
          <w:sz w:val="32"/>
          <w:szCs w:val="32"/>
          <w:lang w:val="en-US" w:eastAsia="zh-CN"/>
        </w:rPr>
        <w:t>于工资福利支出，商品和服务支出，对个人家庭补助支出</w:t>
      </w:r>
      <w:permEnd w:id="5"/>
      <w:r>
        <w:rPr>
          <w:rFonts w:hint="eastAsia" w:ascii="仿宋_GB2312" w:hAnsi="宋体" w:eastAsia="仿宋_GB2312" w:cs="宋体"/>
          <w:b w:val="0"/>
          <w:bCs/>
          <w:color w:val="auto"/>
          <w:spacing w:val="-4"/>
          <w:kern w:val="0"/>
          <w:sz w:val="32"/>
          <w:szCs w:val="32"/>
          <w:lang w:val="en-US" w:eastAsia="zh-CN"/>
        </w:rPr>
        <w:t>。社会保障和就业支出161.07万元，主要用于:</w:t>
      </w:r>
      <w:permStart w:id="6" w:edGrp="everyone"/>
      <w:r>
        <w:rPr>
          <w:rFonts w:hint="eastAsia" w:ascii="仿宋_GB2312" w:hAnsi="宋体" w:eastAsia="仿宋_GB2312" w:cs="宋体"/>
          <w:b w:val="0"/>
          <w:bCs/>
          <w:color w:val="auto"/>
          <w:spacing w:val="-4"/>
          <w:kern w:val="0"/>
          <w:sz w:val="32"/>
          <w:szCs w:val="32"/>
          <w:lang w:val="en-US" w:eastAsia="zh-CN"/>
        </w:rPr>
        <w:t>退休费、养老保险、职业年金</w:t>
      </w:r>
      <w:permEnd w:id="6"/>
      <w:r>
        <w:rPr>
          <w:rFonts w:hint="eastAsia" w:ascii="仿宋_GB2312" w:hAnsi="宋体" w:eastAsia="仿宋_GB2312" w:cs="宋体"/>
          <w:b w:val="0"/>
          <w:bCs/>
          <w:color w:val="auto"/>
          <w:spacing w:val="-4"/>
          <w:kern w:val="0"/>
          <w:sz w:val="32"/>
          <w:szCs w:val="32"/>
          <w:lang w:val="en-US" w:eastAsia="zh-CN"/>
        </w:rPr>
        <w:t>。医疗卫生健康支出66.99万元，主要用于:</w:t>
      </w:r>
      <w:permStart w:id="7" w:edGrp="everyone"/>
      <w:r>
        <w:rPr>
          <w:rFonts w:hint="eastAsia" w:ascii="仿宋_GB2312" w:hAnsi="宋体" w:eastAsia="仿宋_GB2312" w:cs="宋体"/>
          <w:b w:val="0"/>
          <w:bCs/>
          <w:color w:val="auto"/>
          <w:spacing w:val="-4"/>
          <w:kern w:val="0"/>
          <w:sz w:val="32"/>
          <w:szCs w:val="32"/>
          <w:lang w:val="en-US" w:eastAsia="zh-CN"/>
        </w:rPr>
        <w:t>干部职工医疗保险、大病互助金</w:t>
      </w:r>
      <w:permEnd w:id="7"/>
      <w:r>
        <w:rPr>
          <w:rFonts w:hint="eastAsia" w:ascii="仿宋_GB2312" w:hAnsi="宋体" w:eastAsia="仿宋_GB2312" w:cs="宋体"/>
          <w:b w:val="0"/>
          <w:bCs/>
          <w:color w:val="auto"/>
          <w:spacing w:val="-4"/>
          <w:kern w:val="0"/>
          <w:sz w:val="32"/>
          <w:szCs w:val="32"/>
          <w:lang w:val="en-US" w:eastAsia="zh-CN"/>
        </w:rPr>
        <w:t>。住房保障支出79.33万元，主要用于:</w:t>
      </w:r>
      <w:permStart w:id="8" w:edGrp="everyone"/>
      <w:r>
        <w:rPr>
          <w:rFonts w:hint="eastAsia" w:ascii="仿宋_GB2312" w:hAnsi="宋体" w:eastAsia="仿宋_GB2312" w:cs="宋体"/>
          <w:b w:val="0"/>
          <w:bCs/>
          <w:color w:val="auto"/>
          <w:spacing w:val="-4"/>
          <w:kern w:val="0"/>
          <w:sz w:val="32"/>
          <w:szCs w:val="32"/>
          <w:lang w:val="en-US" w:eastAsia="zh-CN"/>
        </w:rPr>
        <w:t>干部职工住房公积金</w:t>
      </w:r>
      <w:permEnd w:id="8"/>
      <w:r>
        <w:rPr>
          <w:rFonts w:hint="eastAsia" w:ascii="仿宋_GB2312" w:hAnsi="宋体" w:eastAsia="仿宋_GB2312" w:cs="宋体"/>
          <w:b w:val="0"/>
          <w:bCs/>
          <w:color w:val="auto"/>
          <w:spacing w:val="-4"/>
          <w:kern w:val="0"/>
          <w:sz w:val="32"/>
          <w:szCs w:val="32"/>
          <w:lang w:val="en-US" w:eastAsia="zh-CN"/>
        </w:rPr>
        <w:t>。</w:t>
      </w:r>
    </w:p>
    <w:p>
      <w:pPr>
        <w:spacing w:line="560" w:lineRule="exact"/>
        <w:ind w:firstLine="640" w:firstLineChars="200"/>
        <w:rPr>
          <w:rFonts w:ascii="黑体" w:hAnsi="宋体" w:eastAsia="黑体" w:cs="宋体"/>
          <w:color w:val="auto"/>
          <w:kern w:val="0"/>
          <w:sz w:val="32"/>
          <w:szCs w:val="32"/>
        </w:rPr>
      </w:pPr>
      <w:r>
        <w:rPr>
          <w:rFonts w:hint="eastAsia" w:ascii="黑体" w:hAnsi="宋体" w:eastAsia="黑体" w:cs="宋体"/>
          <w:color w:val="auto"/>
          <w:kern w:val="0"/>
          <w:sz w:val="32"/>
          <w:szCs w:val="32"/>
        </w:rPr>
        <w:t>五、关于</w:t>
      </w:r>
      <w:r>
        <w:rPr>
          <w:rFonts w:hint="eastAsia" w:ascii="黑体" w:hAnsi="宋体" w:eastAsia="黑体" w:cs="宋体"/>
          <w:color w:val="auto"/>
          <w:kern w:val="0"/>
          <w:sz w:val="32"/>
          <w:szCs w:val="32"/>
          <w:lang w:eastAsia="zh-CN"/>
        </w:rPr>
        <w:t>中共若羌县纪律检查委员会</w:t>
      </w:r>
      <w:r>
        <w:rPr>
          <w:rFonts w:hint="eastAsia" w:ascii="黑体" w:hAnsi="宋体" w:eastAsia="黑体" w:cs="宋体"/>
          <w:color w:val="auto"/>
          <w:kern w:val="0"/>
          <w:sz w:val="32"/>
          <w:szCs w:val="32"/>
          <w:lang w:val="en-US" w:eastAsia="zh-CN"/>
        </w:rPr>
        <w:t>部门</w:t>
      </w:r>
      <w:r>
        <w:rPr>
          <w:rFonts w:hint="eastAsia" w:ascii="黑体" w:hAnsi="宋体" w:eastAsia="黑体" w:cs="宋体"/>
          <w:color w:val="auto"/>
          <w:kern w:val="0"/>
          <w:sz w:val="32"/>
          <w:szCs w:val="32"/>
        </w:rPr>
        <w:t>2022年一般公共预算当年拨款情况说明</w:t>
      </w:r>
    </w:p>
    <w:p>
      <w:pPr>
        <w:spacing w:line="560" w:lineRule="exact"/>
        <w:ind w:firstLine="643" w:firstLineChars="200"/>
        <w:rPr>
          <w:rFonts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rPr>
        <w:t>（一）一般公共预算当年拨款规模变化情况</w:t>
      </w:r>
    </w:p>
    <w:p>
      <w:pPr>
        <w:spacing w:line="56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中共若羌县纪律检查委员会</w:t>
      </w:r>
      <w:r>
        <w:rPr>
          <w:rFonts w:hint="eastAsia" w:ascii="仿宋_GB2312" w:hAnsi="宋体" w:eastAsia="仿宋_GB2312" w:cs="宋体"/>
          <w:color w:val="auto"/>
          <w:kern w:val="0"/>
          <w:sz w:val="32"/>
          <w:szCs w:val="32"/>
          <w:lang w:val="en-US" w:eastAsia="zh-CN"/>
        </w:rPr>
        <w:t>部门</w:t>
      </w:r>
      <w:r>
        <w:rPr>
          <w:rFonts w:hint="eastAsia" w:ascii="仿宋_GB2312" w:hAnsi="宋体" w:eastAsia="仿宋_GB2312" w:cs="宋体"/>
          <w:color w:val="auto"/>
          <w:kern w:val="0"/>
          <w:sz w:val="32"/>
          <w:szCs w:val="32"/>
        </w:rPr>
        <w:t>2022年一般公共预算拨款合计</w:t>
      </w:r>
      <w:r>
        <w:rPr>
          <w:rFonts w:hint="eastAsia" w:ascii="仿宋_GB2312" w:hAnsi="宋体" w:eastAsia="仿宋_GB2312" w:cs="宋体"/>
          <w:color w:val="auto"/>
          <w:kern w:val="0"/>
          <w:sz w:val="32"/>
          <w:szCs w:val="32"/>
          <w:lang w:eastAsia="zh-CN"/>
        </w:rPr>
        <w:t>1517.94</w:t>
      </w:r>
      <w:r>
        <w:rPr>
          <w:rFonts w:hint="eastAsia" w:ascii="仿宋_GB2312" w:hAnsi="宋体" w:eastAsia="仿宋_GB2312" w:cs="宋体"/>
          <w:color w:val="auto"/>
          <w:kern w:val="0"/>
          <w:sz w:val="32"/>
          <w:szCs w:val="32"/>
        </w:rPr>
        <w:t>万元，其中：</w:t>
      </w:r>
    </w:p>
    <w:p>
      <w:pPr>
        <w:spacing w:line="56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基本支出</w:t>
      </w:r>
      <w:r>
        <w:rPr>
          <w:rFonts w:hint="eastAsia" w:ascii="仿宋_GB2312" w:hAnsi="宋体" w:eastAsia="仿宋_GB2312" w:cs="宋体"/>
          <w:color w:val="auto"/>
          <w:kern w:val="0"/>
          <w:sz w:val="32"/>
          <w:szCs w:val="32"/>
          <w:lang w:eastAsia="zh-CN"/>
        </w:rPr>
        <w:t>1217.88</w:t>
      </w:r>
      <w:r>
        <w:rPr>
          <w:rFonts w:hint="eastAsia" w:ascii="仿宋_GB2312" w:hAnsi="宋体" w:eastAsia="仿宋_GB2312" w:cs="宋体"/>
          <w:color w:val="auto"/>
          <w:kern w:val="0"/>
          <w:sz w:val="32"/>
          <w:szCs w:val="32"/>
        </w:rPr>
        <w:t>万元，比上年</w:t>
      </w:r>
      <w:r>
        <w:rPr>
          <w:rFonts w:hint="eastAsia" w:ascii="仿宋_GB2312" w:hAnsi="宋体" w:eastAsia="仿宋_GB2312" w:cs="宋体"/>
          <w:color w:val="auto"/>
          <w:kern w:val="0"/>
          <w:sz w:val="32"/>
          <w:szCs w:val="32"/>
          <w:highlight w:val="none"/>
        </w:rPr>
        <w:t>预算</w:t>
      </w:r>
      <w:r>
        <w:rPr>
          <w:rFonts w:hint="eastAsia" w:ascii="仿宋_GB2312" w:hAnsi="宋体" w:eastAsia="仿宋_GB2312" w:cs="宋体"/>
          <w:color w:val="auto"/>
          <w:kern w:val="0"/>
          <w:sz w:val="32"/>
          <w:szCs w:val="32"/>
          <w:highlight w:val="none"/>
          <w:lang w:eastAsia="zh-CN"/>
        </w:rPr>
        <w:t>减少</w:t>
      </w:r>
      <w:r>
        <w:rPr>
          <w:rFonts w:hint="eastAsia" w:ascii="仿宋_GB2312" w:hAnsi="宋体" w:eastAsia="仿宋_GB2312" w:cs="宋体"/>
          <w:color w:val="auto"/>
          <w:kern w:val="0"/>
          <w:sz w:val="32"/>
          <w:szCs w:val="32"/>
          <w:highlight w:val="none"/>
          <w:lang w:val="en-US" w:eastAsia="zh-CN"/>
        </w:rPr>
        <w:t>43.92</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下降</w:t>
      </w:r>
      <w:r>
        <w:rPr>
          <w:rFonts w:hint="eastAsia" w:ascii="仿宋_GB2312" w:hAnsi="宋体" w:eastAsia="仿宋_GB2312" w:cs="宋体"/>
          <w:color w:val="auto"/>
          <w:kern w:val="0"/>
          <w:sz w:val="32"/>
          <w:szCs w:val="32"/>
          <w:lang w:val="en-US" w:eastAsia="zh-CN"/>
        </w:rPr>
        <w:t>3.48%</w:t>
      </w:r>
      <w:r>
        <w:rPr>
          <w:rFonts w:hint="eastAsia" w:ascii="仿宋_GB2312" w:hAnsi="宋体" w:eastAsia="仿宋_GB2312" w:cs="宋体"/>
          <w:color w:val="auto"/>
          <w:kern w:val="0"/>
          <w:sz w:val="32"/>
          <w:szCs w:val="32"/>
        </w:rPr>
        <w:t>。主要原因是：</w:t>
      </w:r>
      <w:permStart w:id="9" w:edGrp="everyone"/>
      <w:r>
        <w:rPr>
          <w:rFonts w:hint="eastAsia" w:ascii="仿宋_GB2312" w:hAnsi="黑体" w:eastAsia="仿宋_GB2312" w:cs="宋体"/>
          <w:bCs/>
          <w:color w:val="auto"/>
          <w:kern w:val="0"/>
          <w:sz w:val="32"/>
          <w:szCs w:val="32"/>
          <w:lang w:val="en-US" w:eastAsia="zh-CN"/>
        </w:rPr>
        <w:t>部分项目已实施完成，本年度减少项目支出安排</w:t>
      </w:r>
      <w:permEnd w:id="9"/>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highlight w:val="none"/>
        </w:rPr>
        <w:t>项目支出</w:t>
      </w:r>
      <w:r>
        <w:rPr>
          <w:rFonts w:hint="eastAsia" w:ascii="仿宋_GB2312" w:hAnsi="宋体" w:eastAsia="仿宋_GB2312" w:cs="宋体"/>
          <w:color w:val="auto"/>
          <w:kern w:val="0"/>
          <w:sz w:val="32"/>
          <w:szCs w:val="32"/>
          <w:highlight w:val="none"/>
          <w:lang w:eastAsia="zh-CN"/>
        </w:rPr>
        <w:t>300.06</w:t>
      </w:r>
      <w:r>
        <w:rPr>
          <w:rFonts w:hint="eastAsia" w:ascii="仿宋_GB2312" w:hAnsi="宋体" w:eastAsia="仿宋_GB2312" w:cs="宋体"/>
          <w:color w:val="auto"/>
          <w:kern w:val="0"/>
          <w:sz w:val="32"/>
          <w:szCs w:val="32"/>
          <w:highlight w:val="none"/>
        </w:rPr>
        <w:t>万元，比上年预算</w:t>
      </w:r>
      <w:r>
        <w:rPr>
          <w:rFonts w:hint="eastAsia" w:ascii="仿宋_GB2312" w:hAnsi="宋体" w:eastAsia="仿宋_GB2312" w:cs="宋体"/>
          <w:color w:val="auto"/>
          <w:kern w:val="0"/>
          <w:sz w:val="32"/>
          <w:szCs w:val="32"/>
          <w:highlight w:val="none"/>
          <w:lang w:eastAsia="zh-CN"/>
        </w:rPr>
        <w:t>减少</w:t>
      </w:r>
      <w:r>
        <w:rPr>
          <w:rFonts w:hint="eastAsia" w:ascii="仿宋_GB2312" w:hAnsi="宋体" w:eastAsia="仿宋_GB2312" w:cs="宋体"/>
          <w:color w:val="auto"/>
          <w:kern w:val="0"/>
          <w:sz w:val="32"/>
          <w:szCs w:val="32"/>
          <w:highlight w:val="none"/>
          <w:lang w:val="en-US" w:eastAsia="zh-CN"/>
        </w:rPr>
        <w:t>103.94</w:t>
      </w:r>
      <w:r>
        <w:rPr>
          <w:rFonts w:hint="eastAsia" w:ascii="仿宋_GB2312" w:hAnsi="宋体" w:eastAsia="仿宋_GB2312" w:cs="宋体"/>
          <w:color w:val="auto"/>
          <w:kern w:val="0"/>
          <w:sz w:val="32"/>
          <w:szCs w:val="32"/>
          <w:highlight w:val="none"/>
        </w:rPr>
        <w:t>万元，</w:t>
      </w:r>
      <w:r>
        <w:rPr>
          <w:rFonts w:hint="eastAsia" w:ascii="仿宋_GB2312" w:hAnsi="宋体" w:eastAsia="仿宋_GB2312" w:cs="宋体"/>
          <w:color w:val="auto"/>
          <w:kern w:val="0"/>
          <w:sz w:val="32"/>
          <w:szCs w:val="32"/>
          <w:highlight w:val="none"/>
          <w:lang w:eastAsia="zh-CN"/>
        </w:rPr>
        <w:t>下降</w:t>
      </w:r>
      <w:r>
        <w:rPr>
          <w:rFonts w:hint="eastAsia" w:ascii="仿宋_GB2312" w:hAnsi="宋体" w:eastAsia="仿宋_GB2312" w:cs="宋体"/>
          <w:color w:val="auto"/>
          <w:kern w:val="0"/>
          <w:sz w:val="32"/>
          <w:szCs w:val="32"/>
          <w:highlight w:val="none"/>
          <w:lang w:val="en-US" w:eastAsia="zh-CN"/>
        </w:rPr>
        <w:t>25.73%</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rPr>
        <w:t>主要原因是：</w:t>
      </w:r>
      <w:permStart w:id="10" w:edGrp="everyone"/>
      <w:r>
        <w:rPr>
          <w:rFonts w:hint="eastAsia" w:ascii="仿宋_GB2312" w:hAnsi="黑体" w:eastAsia="仿宋_GB2312" w:cs="宋体"/>
          <w:bCs/>
          <w:color w:val="auto"/>
          <w:kern w:val="0"/>
          <w:sz w:val="32"/>
          <w:szCs w:val="32"/>
          <w:lang w:val="en-US" w:eastAsia="zh-CN"/>
        </w:rPr>
        <w:t>部分项目已实施完成，本年度减少项目支出安排</w:t>
      </w:r>
      <w:permEnd w:id="10"/>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rPr>
        <w:t>（二）一般公共预算当年拨款结构情况</w:t>
      </w:r>
    </w:p>
    <w:p>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eastAsia="zh-CN"/>
        </w:rPr>
        <w:t>一般公共服务支出（201类）1210.55万元，占79.75%。</w:t>
      </w:r>
    </w:p>
    <w:p>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eastAsia="zh-CN"/>
        </w:rPr>
        <w:t>社会保障和就业支出（208类）161.07万元，占10.61%。</w:t>
      </w:r>
    </w:p>
    <w:p>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eastAsia="zh-CN"/>
        </w:rPr>
        <w:t>医疗卫生健康支出（210类）66.99万元，占4.41%。</w:t>
      </w:r>
    </w:p>
    <w:p>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eastAsia="zh-CN"/>
        </w:rPr>
        <w:t>住房保障支出（221类）79.33万元，占5.23%。</w:t>
      </w:r>
    </w:p>
    <w:p>
      <w:pPr>
        <w:spacing w:line="560" w:lineRule="exact"/>
        <w:ind w:firstLine="643" w:firstLineChars="200"/>
        <w:rPr>
          <w:rFonts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rPr>
        <w:t>（三）一般公共预算当年拨款具体使用情况</w:t>
      </w:r>
    </w:p>
    <w:p>
      <w:pPr>
        <w:spacing w:line="560" w:lineRule="exact"/>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1. 一般公共服务支出(201类)纪检监察事务(11款)行政运行(01项)：2022年预算数为910.49万元，比上年预算减少86.54万元，下降8.68%,主要原因是：</w:t>
      </w:r>
      <w:permStart w:id="11" w:edGrp="everyone"/>
      <w:r>
        <w:rPr>
          <w:rFonts w:hint="eastAsia" w:ascii="仿宋_GB2312" w:hAnsi="宋体" w:eastAsia="仿宋_GB2312" w:cs="宋体"/>
          <w:color w:val="auto"/>
          <w:kern w:val="0"/>
          <w:sz w:val="32"/>
          <w:szCs w:val="32"/>
          <w:lang w:val="en-US" w:eastAsia="zh-CN"/>
        </w:rPr>
        <w:t>机关办案经费预算安排较上年减少</w:t>
      </w:r>
      <w:permEnd w:id="11"/>
      <w:r>
        <w:rPr>
          <w:rFonts w:hint="eastAsia" w:ascii="仿宋_GB2312" w:hAnsi="宋体" w:eastAsia="仿宋_GB2312" w:cs="宋体"/>
          <w:color w:val="auto"/>
          <w:kern w:val="0"/>
          <w:sz w:val="32"/>
          <w:szCs w:val="32"/>
          <w:lang w:val="en-US" w:eastAsia="zh-CN"/>
        </w:rPr>
        <w:t>。</w:t>
      </w:r>
    </w:p>
    <w:p>
      <w:pPr>
        <w:spacing w:line="560" w:lineRule="exact"/>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2. 一般公共服务支出(201类)纪检监察事务(11款)其他纪检监察事务支出(99项)：2022年预算数为300.06万元，比上年预算减少103.94万元，下降25.73%,主要原因是：</w:t>
      </w:r>
      <w:permStart w:id="12" w:edGrp="everyone"/>
      <w:r>
        <w:rPr>
          <w:rFonts w:hint="eastAsia" w:ascii="仿宋_GB2312" w:hAnsi="宋体" w:eastAsia="仿宋_GB2312" w:cs="宋体"/>
          <w:color w:val="auto"/>
          <w:kern w:val="0"/>
          <w:sz w:val="32"/>
          <w:szCs w:val="32"/>
          <w:lang w:val="en-US" w:eastAsia="zh-CN"/>
        </w:rPr>
        <w:t>机关办案经费预算安排较上年减少</w:t>
      </w:r>
      <w:permEnd w:id="12"/>
      <w:r>
        <w:rPr>
          <w:rFonts w:hint="eastAsia" w:ascii="仿宋_GB2312" w:hAnsi="宋体" w:eastAsia="仿宋_GB2312" w:cs="宋体"/>
          <w:color w:val="auto"/>
          <w:kern w:val="0"/>
          <w:sz w:val="32"/>
          <w:szCs w:val="32"/>
          <w:lang w:val="en-US" w:eastAsia="zh-CN"/>
        </w:rPr>
        <w:t>。</w:t>
      </w:r>
    </w:p>
    <w:p>
      <w:pPr>
        <w:spacing w:line="560" w:lineRule="exact"/>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3. 社会保障和就业支出(208类)行政事业单位养老支出(05款)行政单位离退休(01项)：2022年预算数为2.4万元，比上年预算增加0.42万元，增长21.21%,主要原因是：</w:t>
      </w:r>
      <w:permStart w:id="13" w:edGrp="everyone"/>
      <w:r>
        <w:rPr>
          <w:rFonts w:hint="eastAsia" w:ascii="仿宋_GB2312" w:hAnsi="宋体" w:eastAsia="仿宋_GB2312" w:cs="宋体"/>
          <w:color w:val="auto"/>
          <w:kern w:val="0"/>
          <w:sz w:val="32"/>
          <w:szCs w:val="32"/>
          <w:lang w:val="en-US" w:eastAsia="zh-CN"/>
        </w:rPr>
        <w:t>退休工资、社保调增</w:t>
      </w:r>
      <w:permEnd w:id="13"/>
      <w:r>
        <w:rPr>
          <w:rFonts w:hint="eastAsia" w:ascii="仿宋_GB2312" w:hAnsi="宋体" w:eastAsia="仿宋_GB2312" w:cs="宋体"/>
          <w:color w:val="auto"/>
          <w:kern w:val="0"/>
          <w:sz w:val="32"/>
          <w:szCs w:val="32"/>
          <w:lang w:val="en-US" w:eastAsia="zh-CN"/>
        </w:rPr>
        <w:t>。</w:t>
      </w:r>
    </w:p>
    <w:p>
      <w:pPr>
        <w:spacing w:line="560" w:lineRule="exact"/>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4. 社会保障和就业支出(208类)行政事业单位养老支出(05款)机关事业单位基本养老保险缴费支出(05项)：2022年预算数为105.78万元，比上年预算减少2.54万元，下降2.34%,主要原因是：</w:t>
      </w:r>
      <w:permStart w:id="14" w:edGrp="everyone"/>
      <w:r>
        <w:rPr>
          <w:rFonts w:hint="eastAsia" w:ascii="仿宋_GB2312" w:hAnsi="宋体" w:eastAsia="仿宋_GB2312" w:cs="宋体"/>
          <w:color w:val="auto"/>
          <w:kern w:val="0"/>
          <w:sz w:val="32"/>
          <w:szCs w:val="32"/>
          <w:lang w:val="en-US" w:eastAsia="zh-CN"/>
        </w:rPr>
        <w:t>社保基数调标</w:t>
      </w:r>
      <w:permEnd w:id="14"/>
      <w:r>
        <w:rPr>
          <w:rFonts w:hint="eastAsia" w:ascii="仿宋_GB2312" w:hAnsi="宋体" w:eastAsia="仿宋_GB2312" w:cs="宋体"/>
          <w:color w:val="auto"/>
          <w:kern w:val="0"/>
          <w:sz w:val="32"/>
          <w:szCs w:val="32"/>
          <w:lang w:val="en-US" w:eastAsia="zh-CN"/>
        </w:rPr>
        <w:t>。</w:t>
      </w:r>
    </w:p>
    <w:p>
      <w:pPr>
        <w:spacing w:line="560" w:lineRule="exact"/>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5. 社会保障和就业支出(208类)行政事业单位养老支出(05款)机关事业单位职业年金缴费支出(06项)：2022年预算数为52.89万元，比上年预算增加48.08万元，增长999.58%,主要原因是：</w:t>
      </w:r>
      <w:permStart w:id="15" w:edGrp="everyone"/>
      <w:r>
        <w:rPr>
          <w:rFonts w:hint="eastAsia" w:ascii="仿宋_GB2312" w:hAnsi="宋体" w:eastAsia="仿宋_GB2312" w:cs="宋体"/>
          <w:color w:val="auto"/>
          <w:kern w:val="0"/>
          <w:sz w:val="32"/>
          <w:szCs w:val="32"/>
          <w:lang w:val="en-US" w:eastAsia="zh-CN"/>
        </w:rPr>
        <w:t>退休工资、社保调增</w:t>
      </w:r>
      <w:permEnd w:id="15"/>
      <w:r>
        <w:rPr>
          <w:rFonts w:hint="eastAsia" w:ascii="仿宋_GB2312" w:hAnsi="宋体" w:eastAsia="仿宋_GB2312" w:cs="宋体"/>
          <w:color w:val="auto"/>
          <w:kern w:val="0"/>
          <w:sz w:val="32"/>
          <w:szCs w:val="32"/>
          <w:lang w:val="en-US" w:eastAsia="zh-CN"/>
        </w:rPr>
        <w:t>。</w:t>
      </w:r>
    </w:p>
    <w:p>
      <w:pPr>
        <w:spacing w:line="560" w:lineRule="exact"/>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6. 卫生健康支出(210类)行政事业单位医疗(11款)行政单位医疗(01项)：2022年预算数为48.76万元，比上年预算减少1.28万元，下降2.56%,主要原因是：</w:t>
      </w:r>
      <w:permStart w:id="16" w:edGrp="everyone"/>
      <w:r>
        <w:rPr>
          <w:rFonts w:hint="eastAsia" w:ascii="仿宋_GB2312" w:hAnsi="宋体" w:eastAsia="仿宋_GB2312" w:cs="宋体"/>
          <w:color w:val="auto"/>
          <w:kern w:val="0"/>
          <w:sz w:val="32"/>
          <w:szCs w:val="32"/>
          <w:lang w:val="en-US" w:eastAsia="zh-CN"/>
        </w:rPr>
        <w:t>社保基数调标</w:t>
      </w:r>
      <w:permEnd w:id="16"/>
      <w:r>
        <w:rPr>
          <w:rFonts w:hint="eastAsia" w:ascii="仿宋_GB2312" w:hAnsi="宋体" w:eastAsia="仿宋_GB2312" w:cs="宋体"/>
          <w:color w:val="auto"/>
          <w:kern w:val="0"/>
          <w:sz w:val="32"/>
          <w:szCs w:val="32"/>
          <w:lang w:val="en-US" w:eastAsia="zh-CN"/>
        </w:rPr>
        <w:t>。</w:t>
      </w:r>
    </w:p>
    <w:p>
      <w:pPr>
        <w:spacing w:line="560" w:lineRule="exact"/>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7. 卫生健康支出(210类)行政事业单位医疗(11款)公务员医疗补助(03项)：2022年预算数为18.23万元，比上年预算减少0.19万元，下降1.03%,主要原因是：</w:t>
      </w:r>
      <w:permStart w:id="17" w:edGrp="everyone"/>
      <w:r>
        <w:rPr>
          <w:rFonts w:hint="eastAsia" w:ascii="仿宋_GB2312" w:hAnsi="宋体" w:eastAsia="仿宋_GB2312" w:cs="宋体"/>
          <w:color w:val="auto"/>
          <w:kern w:val="0"/>
          <w:sz w:val="32"/>
          <w:szCs w:val="32"/>
          <w:lang w:val="en-US" w:eastAsia="zh-CN"/>
        </w:rPr>
        <w:t>社保基数调标</w:t>
      </w:r>
      <w:permEnd w:id="17"/>
      <w:r>
        <w:rPr>
          <w:rFonts w:hint="eastAsia" w:ascii="仿宋_GB2312" w:hAnsi="宋体" w:eastAsia="仿宋_GB2312" w:cs="宋体"/>
          <w:color w:val="auto"/>
          <w:kern w:val="0"/>
          <w:sz w:val="32"/>
          <w:szCs w:val="32"/>
          <w:lang w:val="en-US" w:eastAsia="zh-CN"/>
        </w:rPr>
        <w:t>。</w:t>
      </w:r>
    </w:p>
    <w:p>
      <w:pPr>
        <w:spacing w:line="560" w:lineRule="exact"/>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8. 住房保障支出(221类)住房改革支出(02款)住房公积金(01项)：2022年预算数为79.33万元，比上年预算减少1.87万元，下降2.30%,主要原因是：</w:t>
      </w:r>
      <w:permStart w:id="18" w:edGrp="everyone"/>
      <w:r>
        <w:rPr>
          <w:rFonts w:hint="eastAsia" w:ascii="仿宋_GB2312" w:hAnsi="宋体" w:eastAsia="仿宋_GB2312" w:cs="宋体"/>
          <w:color w:val="auto"/>
          <w:kern w:val="0"/>
          <w:sz w:val="32"/>
          <w:szCs w:val="32"/>
          <w:lang w:val="en-US" w:eastAsia="zh-CN"/>
        </w:rPr>
        <w:t>公积金基数调标</w:t>
      </w:r>
      <w:permEnd w:id="18"/>
      <w:r>
        <w:rPr>
          <w:rFonts w:hint="eastAsia" w:ascii="仿宋_GB2312" w:hAnsi="宋体" w:eastAsia="仿宋_GB2312" w:cs="宋体"/>
          <w:color w:val="auto"/>
          <w:kern w:val="0"/>
          <w:sz w:val="32"/>
          <w:szCs w:val="32"/>
          <w:lang w:val="en-US" w:eastAsia="zh-CN"/>
        </w:rPr>
        <w:t>。</w:t>
      </w:r>
    </w:p>
    <w:p>
      <w:pPr>
        <w:spacing w:line="560" w:lineRule="exact"/>
        <w:ind w:firstLine="640" w:firstLineChars="200"/>
        <w:rPr>
          <w:rFonts w:ascii="黑体" w:hAnsi="宋体" w:eastAsia="黑体" w:cs="宋体"/>
          <w:color w:val="auto"/>
          <w:kern w:val="0"/>
          <w:sz w:val="32"/>
          <w:szCs w:val="32"/>
        </w:rPr>
      </w:pPr>
      <w:r>
        <w:rPr>
          <w:rFonts w:hint="eastAsia" w:ascii="黑体" w:hAnsi="宋体" w:eastAsia="黑体" w:cs="宋体"/>
          <w:color w:val="auto"/>
          <w:kern w:val="0"/>
          <w:sz w:val="32"/>
          <w:szCs w:val="32"/>
        </w:rPr>
        <w:t>六、关于</w:t>
      </w:r>
      <w:r>
        <w:rPr>
          <w:rFonts w:hint="eastAsia" w:ascii="黑体" w:hAnsi="宋体" w:eastAsia="黑体" w:cs="宋体"/>
          <w:color w:val="auto"/>
          <w:kern w:val="0"/>
          <w:sz w:val="32"/>
          <w:szCs w:val="32"/>
          <w:lang w:eastAsia="zh-CN"/>
        </w:rPr>
        <w:t>中共若羌县纪律检查委员会</w:t>
      </w:r>
      <w:r>
        <w:rPr>
          <w:rFonts w:hint="eastAsia" w:ascii="黑体" w:hAnsi="宋体" w:eastAsia="黑体" w:cs="宋体"/>
          <w:color w:val="auto"/>
          <w:kern w:val="0"/>
          <w:sz w:val="32"/>
          <w:szCs w:val="32"/>
          <w:lang w:val="en-US" w:eastAsia="zh-CN"/>
        </w:rPr>
        <w:t>部门</w:t>
      </w:r>
      <w:r>
        <w:rPr>
          <w:rFonts w:hint="eastAsia" w:ascii="黑体" w:hAnsi="宋体" w:eastAsia="黑体" w:cs="宋体"/>
          <w:color w:val="auto"/>
          <w:kern w:val="0"/>
          <w:sz w:val="32"/>
          <w:szCs w:val="32"/>
        </w:rPr>
        <w:t>2022年一般公共预算基本支出情况说明</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中共若羌县纪律检查委员会</w:t>
      </w:r>
      <w:r>
        <w:rPr>
          <w:rFonts w:hint="eastAsia" w:ascii="仿宋_GB2312" w:hAnsi="宋体" w:eastAsia="仿宋_GB2312" w:cs="宋体"/>
          <w:color w:val="auto"/>
          <w:kern w:val="0"/>
          <w:sz w:val="32"/>
          <w:szCs w:val="32"/>
          <w:lang w:val="en-US" w:eastAsia="zh-CN"/>
        </w:rPr>
        <w:t>部门</w:t>
      </w:r>
      <w:r>
        <w:rPr>
          <w:rFonts w:hint="eastAsia" w:ascii="仿宋_GB2312" w:hAnsi="宋体" w:eastAsia="仿宋_GB2312" w:cs="宋体"/>
          <w:color w:val="auto"/>
          <w:kern w:val="0"/>
          <w:sz w:val="32"/>
          <w:szCs w:val="32"/>
        </w:rPr>
        <w:t>2022年一般公共预算基本支出</w:t>
      </w:r>
      <w:r>
        <w:rPr>
          <w:rFonts w:hint="eastAsia" w:ascii="仿宋_GB2312" w:hAnsi="宋体" w:eastAsia="仿宋_GB2312" w:cs="宋体"/>
          <w:color w:val="auto"/>
          <w:kern w:val="0"/>
          <w:sz w:val="32"/>
          <w:szCs w:val="32"/>
          <w:lang w:eastAsia="zh-CN"/>
        </w:rPr>
        <w:t>1217.88</w:t>
      </w:r>
      <w:r>
        <w:rPr>
          <w:rFonts w:hint="eastAsia" w:ascii="仿宋_GB2312" w:hAnsi="宋体" w:eastAsia="仿宋_GB2312" w:cs="宋体"/>
          <w:color w:val="auto"/>
          <w:kern w:val="0"/>
          <w:sz w:val="32"/>
          <w:szCs w:val="32"/>
        </w:rPr>
        <w:t>万元，其中：</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人员经费</w:t>
      </w:r>
      <w:r>
        <w:rPr>
          <w:rFonts w:hint="eastAsia" w:ascii="仿宋_GB2312" w:hAnsi="宋体" w:eastAsia="仿宋_GB2312" w:cs="宋体"/>
          <w:color w:val="auto"/>
          <w:kern w:val="0"/>
          <w:sz w:val="32"/>
          <w:szCs w:val="32"/>
          <w:lang w:eastAsia="zh-CN"/>
        </w:rPr>
        <w:t>1055.15</w:t>
      </w:r>
      <w:r>
        <w:rPr>
          <w:rFonts w:hint="eastAsia" w:ascii="仿宋_GB2312" w:hAnsi="宋体" w:eastAsia="仿宋_GB2312" w:cs="宋体"/>
          <w:color w:val="auto"/>
          <w:kern w:val="0"/>
          <w:sz w:val="32"/>
          <w:szCs w:val="32"/>
        </w:rPr>
        <w:t>万元，主要包括：</w:t>
      </w:r>
      <w:r>
        <w:rPr>
          <w:rFonts w:hint="eastAsia" w:ascii="仿宋_GB2312" w:hAnsi="宋体" w:eastAsia="仿宋_GB2312" w:cs="宋体"/>
          <w:color w:val="auto"/>
          <w:kern w:val="0"/>
          <w:sz w:val="32"/>
          <w:szCs w:val="32"/>
          <w:lang w:eastAsia="zh-CN"/>
        </w:rPr>
        <w:t>基本工资、津贴补贴、奖金、机关事业单位基本养老保险缴费、职业年金缴费、城镇职工基本医疗保险缴费、公务员医疗补助缴费、住房公积金、医疗费、其他工资福利支出、退休费</w:t>
      </w:r>
      <w:r>
        <w:rPr>
          <w:rFonts w:hint="eastAsia" w:ascii="仿宋_GB2312" w:hAnsi="宋体" w:eastAsia="仿宋_GB2312" w:cs="宋体"/>
          <w:color w:val="auto"/>
          <w:kern w:val="0"/>
          <w:sz w:val="32"/>
          <w:szCs w:val="32"/>
        </w:rPr>
        <w:t>。</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公用经费</w:t>
      </w:r>
      <w:r>
        <w:rPr>
          <w:rFonts w:hint="eastAsia" w:ascii="仿宋_GB2312" w:hAnsi="宋体" w:eastAsia="仿宋_GB2312" w:cs="宋体"/>
          <w:color w:val="auto"/>
          <w:kern w:val="0"/>
          <w:sz w:val="32"/>
          <w:szCs w:val="32"/>
          <w:lang w:eastAsia="zh-CN"/>
        </w:rPr>
        <w:t>162.73</w:t>
      </w:r>
      <w:r>
        <w:rPr>
          <w:rFonts w:hint="eastAsia" w:ascii="仿宋_GB2312" w:hAnsi="宋体" w:eastAsia="仿宋_GB2312" w:cs="宋体"/>
          <w:color w:val="auto"/>
          <w:kern w:val="0"/>
          <w:sz w:val="32"/>
          <w:szCs w:val="32"/>
        </w:rPr>
        <w:t>万元，主要包括：</w:t>
      </w:r>
      <w:r>
        <w:rPr>
          <w:rFonts w:hint="eastAsia" w:ascii="仿宋_GB2312" w:hAnsi="宋体" w:eastAsia="仿宋_GB2312" w:cs="宋体"/>
          <w:color w:val="auto"/>
          <w:kern w:val="0"/>
          <w:sz w:val="32"/>
          <w:szCs w:val="32"/>
          <w:lang w:eastAsia="zh-CN"/>
        </w:rPr>
        <w:t>办公费、取暖费、培训费、公务接待费、工会经费、福利费、公务用车运行维护费</w:t>
      </w:r>
      <w:r>
        <w:rPr>
          <w:rFonts w:hint="eastAsia" w:ascii="仿宋_GB2312" w:hAnsi="宋体" w:eastAsia="仿宋_GB2312" w:cs="宋体"/>
          <w:color w:val="auto"/>
          <w:kern w:val="0"/>
          <w:sz w:val="32"/>
          <w:szCs w:val="32"/>
        </w:rPr>
        <w:t>。</w:t>
      </w:r>
    </w:p>
    <w:p>
      <w:pPr>
        <w:numPr>
          <w:ilvl w:val="0"/>
          <w:numId w:val="2"/>
        </w:numPr>
        <w:spacing w:line="560" w:lineRule="exact"/>
        <w:ind w:firstLine="640" w:firstLineChars="200"/>
        <w:rPr>
          <w:rFonts w:ascii="黑体" w:hAnsi="宋体" w:eastAsia="黑体" w:cs="宋体"/>
          <w:color w:val="auto"/>
          <w:kern w:val="0"/>
          <w:sz w:val="32"/>
          <w:szCs w:val="32"/>
        </w:rPr>
      </w:pPr>
      <w:r>
        <w:rPr>
          <w:rFonts w:hint="eastAsia" w:ascii="黑体" w:hAnsi="宋体" w:eastAsia="黑体" w:cs="宋体"/>
          <w:color w:val="auto"/>
          <w:kern w:val="0"/>
          <w:sz w:val="32"/>
          <w:szCs w:val="32"/>
        </w:rPr>
        <w:t>关于</w:t>
      </w:r>
      <w:r>
        <w:rPr>
          <w:rFonts w:hint="eastAsia" w:ascii="黑体" w:hAnsi="宋体" w:eastAsia="黑体" w:cs="宋体"/>
          <w:color w:val="auto"/>
          <w:kern w:val="0"/>
          <w:sz w:val="32"/>
          <w:szCs w:val="32"/>
          <w:lang w:eastAsia="zh-CN"/>
        </w:rPr>
        <w:t>中共若羌县纪律检查委员会</w:t>
      </w:r>
      <w:r>
        <w:rPr>
          <w:rFonts w:hint="eastAsia" w:ascii="黑体" w:hAnsi="宋体" w:eastAsia="黑体" w:cs="宋体"/>
          <w:color w:val="auto"/>
          <w:kern w:val="0"/>
          <w:sz w:val="32"/>
          <w:szCs w:val="32"/>
          <w:lang w:val="en-US" w:eastAsia="zh-CN"/>
        </w:rPr>
        <w:t>部门</w:t>
      </w:r>
      <w:r>
        <w:rPr>
          <w:rFonts w:hint="eastAsia" w:ascii="黑体" w:hAnsi="宋体" w:eastAsia="黑体" w:cs="宋体"/>
          <w:color w:val="auto"/>
          <w:kern w:val="0"/>
          <w:sz w:val="32"/>
          <w:szCs w:val="32"/>
        </w:rPr>
        <w:t>2022年一般公共预算项目支出情况说明</w:t>
      </w:r>
    </w:p>
    <w:p>
      <w:pPr>
        <w:spacing w:line="560" w:lineRule="exact"/>
        <w:ind w:firstLine="640" w:firstLineChars="200"/>
        <w:rPr>
          <w:rFonts w:ascii="仿宋_GB2312" w:hAnsi="黑体" w:eastAsia="仿宋_GB2312"/>
          <w:color w:val="auto"/>
          <w:sz w:val="32"/>
          <w:szCs w:val="32"/>
          <w:highlight w:val="none"/>
        </w:rPr>
      </w:pPr>
      <w:permStart w:id="19" w:edGrp="everyone"/>
      <w:r>
        <w:rPr>
          <w:rFonts w:hint="eastAsia" w:ascii="仿宋_GB2312" w:hAnsi="黑体" w:eastAsia="仿宋_GB2312"/>
          <w:color w:val="auto"/>
          <w:sz w:val="32"/>
          <w:szCs w:val="32"/>
          <w:highlight w:val="none"/>
        </w:rPr>
        <w:t>项目</w:t>
      </w:r>
      <w:r>
        <w:rPr>
          <w:rFonts w:ascii="仿宋_GB2312" w:hAnsi="黑体" w:eastAsia="仿宋_GB2312"/>
          <w:color w:val="auto"/>
          <w:sz w:val="32"/>
          <w:szCs w:val="32"/>
          <w:highlight w:val="none"/>
        </w:rPr>
        <w:t>名称</w:t>
      </w:r>
      <w:r>
        <w:rPr>
          <w:rFonts w:hint="eastAsia" w:ascii="仿宋_GB2312" w:hAnsi="黑体" w:eastAsia="仿宋_GB2312"/>
          <w:color w:val="auto"/>
          <w:sz w:val="32"/>
          <w:szCs w:val="32"/>
          <w:highlight w:val="none"/>
        </w:rPr>
        <w:t>：机关办案经费</w:t>
      </w:r>
    </w:p>
    <w:p>
      <w:pPr>
        <w:spacing w:line="560" w:lineRule="exact"/>
        <w:ind w:firstLine="640" w:firstLineChars="200"/>
        <w:rPr>
          <w:rFonts w:hint="eastAsia"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设立的政策依据</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《中国共产党纪律处分条例》、《中</w:t>
      </w:r>
    </w:p>
    <w:p>
      <w:pPr>
        <w:spacing w:line="560" w:lineRule="exact"/>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华人民共和国监察法》、《党章》等相关文件。</w:t>
      </w:r>
      <w:bookmarkStart w:id="0" w:name="_GoBack"/>
      <w:bookmarkEnd w:id="0"/>
    </w:p>
    <w:p>
      <w:pPr>
        <w:spacing w:line="560" w:lineRule="exact"/>
        <w:ind w:firstLine="640" w:firstLineChars="200"/>
        <w:rPr>
          <w:rFonts w:hint="eastAsia"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预算安排规模</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2</w:t>
      </w:r>
      <w:r>
        <w:rPr>
          <w:rFonts w:hint="eastAsia" w:ascii="仿宋_GB2312" w:hAnsi="宋体" w:eastAsia="仿宋_GB2312" w:cs="宋体"/>
          <w:color w:val="auto"/>
          <w:kern w:val="0"/>
          <w:sz w:val="32"/>
          <w:szCs w:val="32"/>
          <w:highlight w:val="none"/>
          <w:lang w:val="en-US" w:eastAsia="zh-CN"/>
        </w:rPr>
        <w:t>42.06</w:t>
      </w:r>
      <w:r>
        <w:rPr>
          <w:rFonts w:hint="eastAsia" w:ascii="仿宋_GB2312" w:hAnsi="宋体" w:eastAsia="仿宋_GB2312" w:cs="宋体"/>
          <w:color w:val="auto"/>
          <w:kern w:val="0"/>
          <w:sz w:val="32"/>
          <w:szCs w:val="32"/>
          <w:highlight w:val="none"/>
        </w:rPr>
        <w:t>万元</w:t>
      </w:r>
    </w:p>
    <w:p>
      <w:pPr>
        <w:spacing w:line="560" w:lineRule="exact"/>
        <w:ind w:firstLine="640" w:firstLineChars="200"/>
        <w:rPr>
          <w:rFonts w:hint="eastAsia"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项目承担单位</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中共若羌县纪律检查委员会</w:t>
      </w:r>
    </w:p>
    <w:p>
      <w:pPr>
        <w:spacing w:line="560" w:lineRule="exact"/>
        <w:ind w:firstLine="640" w:firstLineChars="200"/>
        <w:rPr>
          <w:rFonts w:hint="eastAsia"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资金分配情况</w:t>
      </w:r>
      <w:r>
        <w:rPr>
          <w:rFonts w:hint="eastAsia" w:ascii="仿宋_GB2312" w:hAnsi="黑体" w:eastAsia="仿宋_GB2312"/>
          <w:color w:val="auto"/>
          <w:sz w:val="32"/>
          <w:szCs w:val="32"/>
          <w:highlight w:val="none"/>
        </w:rPr>
        <w:t xml:space="preserve">：办案设备购置费 </w:t>
      </w:r>
      <w:r>
        <w:rPr>
          <w:rFonts w:hint="eastAsia" w:ascii="仿宋_GB2312" w:hAnsi="黑体" w:eastAsia="仿宋_GB2312"/>
          <w:color w:val="auto"/>
          <w:sz w:val="32"/>
          <w:szCs w:val="32"/>
          <w:highlight w:val="none"/>
          <w:lang w:val="en-US" w:eastAsia="zh-CN"/>
        </w:rPr>
        <w:t>76</w:t>
      </w:r>
      <w:r>
        <w:rPr>
          <w:rFonts w:hint="eastAsia" w:ascii="仿宋_GB2312" w:hAnsi="黑体" w:eastAsia="仿宋_GB2312"/>
          <w:color w:val="auto"/>
          <w:sz w:val="32"/>
          <w:szCs w:val="32"/>
          <w:highlight w:val="none"/>
        </w:rPr>
        <w:t>.16 万元，办案人员及谈话对象体检、餐食费用 38.08 万元，办案人员差旅费用</w:t>
      </w:r>
      <w:r>
        <w:rPr>
          <w:rFonts w:hint="eastAsia" w:ascii="仿宋_GB2312" w:hAnsi="黑体" w:eastAsia="仿宋_GB2312"/>
          <w:color w:val="auto"/>
          <w:sz w:val="32"/>
          <w:szCs w:val="32"/>
          <w:highlight w:val="none"/>
          <w:lang w:val="en-US" w:eastAsia="zh-CN"/>
        </w:rPr>
        <w:t>5</w:t>
      </w:r>
      <w:r>
        <w:rPr>
          <w:rFonts w:hint="eastAsia" w:ascii="仿宋_GB2312" w:hAnsi="黑体" w:eastAsia="仿宋_GB2312"/>
          <w:color w:val="auto"/>
          <w:sz w:val="32"/>
          <w:szCs w:val="32"/>
          <w:highlight w:val="none"/>
        </w:rPr>
        <w:t xml:space="preserve">9.28 万元，谈话场所日常维护费 25.16 万元，办案用车费用 </w:t>
      </w:r>
      <w:r>
        <w:rPr>
          <w:rFonts w:hint="eastAsia" w:ascii="仿宋_GB2312" w:hAnsi="黑体" w:eastAsia="仿宋_GB2312"/>
          <w:color w:val="auto"/>
          <w:sz w:val="32"/>
          <w:szCs w:val="32"/>
          <w:highlight w:val="none"/>
          <w:lang w:val="en-US" w:eastAsia="zh-CN"/>
        </w:rPr>
        <w:t>43.38</w:t>
      </w:r>
      <w:r>
        <w:rPr>
          <w:rFonts w:hint="eastAsia" w:ascii="仿宋_GB2312" w:hAnsi="黑体" w:eastAsia="仿宋_GB2312"/>
          <w:color w:val="auto"/>
          <w:sz w:val="32"/>
          <w:szCs w:val="32"/>
          <w:highlight w:val="none"/>
        </w:rPr>
        <w:t>万元。</w:t>
      </w:r>
      <w:r>
        <w:rPr>
          <w:rFonts w:hint="eastAsia" w:ascii="仿宋_GB2312" w:hAnsi="宋体" w:eastAsia="仿宋_GB2312" w:cs="宋体"/>
          <w:color w:val="auto"/>
          <w:kern w:val="0"/>
          <w:sz w:val="32"/>
          <w:szCs w:val="32"/>
          <w:highlight w:val="none"/>
        </w:rPr>
        <w:t>……</w:t>
      </w:r>
    </w:p>
    <w:p>
      <w:pPr>
        <w:spacing w:line="560" w:lineRule="exact"/>
        <w:ind w:firstLine="640" w:firstLineChars="200"/>
        <w:rPr>
          <w:rFonts w:hint="eastAsia" w:ascii="仿宋_GB2312" w:hAnsi="宋体" w:eastAsia="仿宋_GB2312" w:cs="宋体"/>
          <w:color w:val="auto"/>
          <w:kern w:val="0"/>
          <w:sz w:val="32"/>
          <w:szCs w:val="32"/>
          <w:highlight w:val="none"/>
        </w:rPr>
      </w:pPr>
      <w:r>
        <w:rPr>
          <w:rFonts w:ascii="仿宋_GB2312" w:hAnsi="黑体" w:eastAsia="仿宋_GB2312"/>
          <w:color w:val="auto"/>
          <w:sz w:val="32"/>
          <w:szCs w:val="32"/>
          <w:highlight w:val="none"/>
        </w:rPr>
        <w:t>资金执行时间</w:t>
      </w:r>
      <w:r>
        <w:rPr>
          <w:rFonts w:hint="eastAsia" w:ascii="仿宋_GB2312" w:hAnsi="黑体" w:eastAsia="仿宋_GB2312"/>
          <w:color w:val="auto"/>
          <w:sz w:val="32"/>
          <w:szCs w:val="32"/>
          <w:highlight w:val="none"/>
        </w:rPr>
        <w:t>：</w:t>
      </w:r>
      <w:r>
        <w:rPr>
          <w:rFonts w:hint="eastAsia" w:ascii="仿宋_GB2312" w:hAnsi="宋体" w:eastAsia="仿宋_GB2312" w:cs="宋体"/>
          <w:color w:val="auto"/>
          <w:kern w:val="0"/>
          <w:sz w:val="32"/>
          <w:szCs w:val="32"/>
          <w:highlight w:val="none"/>
        </w:rPr>
        <w:t>202</w:t>
      </w: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rPr>
        <w:t xml:space="preserve"> 年 1 月-202</w:t>
      </w: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rPr>
        <w:t xml:space="preserve"> 年 12 月</w:t>
      </w:r>
    </w:p>
    <w:permEnd w:id="19"/>
    <w:p>
      <w:pPr>
        <w:spacing w:line="560" w:lineRule="exact"/>
        <w:ind w:firstLine="640" w:firstLineChars="200"/>
        <w:rPr>
          <w:rFonts w:ascii="黑体" w:hAnsi="宋体" w:eastAsia="黑体" w:cs="宋体"/>
          <w:color w:val="auto"/>
          <w:kern w:val="0"/>
          <w:sz w:val="32"/>
          <w:szCs w:val="32"/>
        </w:rPr>
      </w:pPr>
      <w:r>
        <w:rPr>
          <w:rFonts w:hint="eastAsia" w:ascii="黑体" w:hAnsi="宋体" w:eastAsia="黑体" w:cs="宋体"/>
          <w:color w:val="auto"/>
          <w:kern w:val="0"/>
          <w:sz w:val="32"/>
          <w:szCs w:val="32"/>
        </w:rPr>
        <w:t>八、关于</w:t>
      </w:r>
      <w:r>
        <w:rPr>
          <w:rFonts w:hint="eastAsia" w:ascii="黑体" w:hAnsi="宋体" w:eastAsia="黑体" w:cs="宋体"/>
          <w:color w:val="auto"/>
          <w:kern w:val="0"/>
          <w:sz w:val="32"/>
          <w:szCs w:val="32"/>
          <w:lang w:eastAsia="zh-CN"/>
        </w:rPr>
        <w:t>中共若羌县纪律检查委员会</w:t>
      </w:r>
      <w:r>
        <w:rPr>
          <w:rFonts w:hint="eastAsia" w:ascii="黑体" w:hAnsi="宋体" w:eastAsia="黑体" w:cs="宋体"/>
          <w:color w:val="auto"/>
          <w:kern w:val="0"/>
          <w:sz w:val="32"/>
          <w:szCs w:val="32"/>
          <w:lang w:val="en-US" w:eastAsia="zh-CN"/>
        </w:rPr>
        <w:t>部门</w:t>
      </w:r>
      <w:r>
        <w:rPr>
          <w:rFonts w:hint="eastAsia" w:ascii="黑体" w:hAnsi="宋体" w:eastAsia="黑体" w:cs="宋体"/>
          <w:color w:val="auto"/>
          <w:kern w:val="0"/>
          <w:sz w:val="32"/>
          <w:szCs w:val="32"/>
        </w:rPr>
        <w:t>2022年一般公共预算“三公”经费预算情况说明</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中共若羌县纪律检查委员会</w:t>
      </w:r>
      <w:r>
        <w:rPr>
          <w:rFonts w:hint="eastAsia" w:ascii="仿宋_GB2312" w:hAnsi="宋体" w:eastAsia="仿宋_GB2312" w:cs="宋体"/>
          <w:color w:val="auto"/>
          <w:kern w:val="0"/>
          <w:sz w:val="32"/>
          <w:szCs w:val="32"/>
          <w:lang w:val="en-US" w:eastAsia="zh-CN"/>
        </w:rPr>
        <w:t>部门</w:t>
      </w:r>
      <w:r>
        <w:rPr>
          <w:rFonts w:hint="eastAsia" w:ascii="仿宋_GB2312" w:hAnsi="宋体" w:eastAsia="仿宋_GB2312" w:cs="宋体"/>
          <w:color w:val="auto"/>
          <w:kern w:val="0"/>
          <w:sz w:val="32"/>
          <w:szCs w:val="32"/>
        </w:rPr>
        <w:t>2022年一般公共预算“三公”经费数为</w:t>
      </w:r>
      <w:r>
        <w:rPr>
          <w:rFonts w:hint="eastAsia" w:ascii="仿宋_GB2312" w:hAnsi="宋体" w:eastAsia="仿宋_GB2312" w:cs="宋体"/>
          <w:color w:val="auto"/>
          <w:kern w:val="0"/>
          <w:sz w:val="32"/>
          <w:szCs w:val="32"/>
          <w:lang w:eastAsia="zh-CN"/>
        </w:rPr>
        <w:t>3.55</w:t>
      </w:r>
      <w:r>
        <w:rPr>
          <w:rFonts w:hint="eastAsia" w:ascii="仿宋_GB2312" w:hAnsi="宋体" w:eastAsia="仿宋_GB2312" w:cs="宋体"/>
          <w:color w:val="auto"/>
          <w:kern w:val="0"/>
          <w:sz w:val="32"/>
          <w:szCs w:val="32"/>
        </w:rPr>
        <w:t>万元，其中：因公出国（境）费</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万元，公务用车购置</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万元，公务用车运行费</w:t>
      </w:r>
      <w:r>
        <w:rPr>
          <w:rFonts w:hint="eastAsia" w:ascii="仿宋_GB2312" w:hAnsi="宋体" w:eastAsia="仿宋_GB2312" w:cs="宋体"/>
          <w:color w:val="auto"/>
          <w:kern w:val="0"/>
          <w:sz w:val="32"/>
          <w:szCs w:val="32"/>
          <w:lang w:eastAsia="zh-CN"/>
        </w:rPr>
        <w:t>3.08</w:t>
      </w:r>
      <w:r>
        <w:rPr>
          <w:rFonts w:hint="eastAsia" w:ascii="仿宋_GB2312" w:hAnsi="宋体" w:eastAsia="仿宋_GB2312" w:cs="宋体"/>
          <w:color w:val="auto"/>
          <w:kern w:val="0"/>
          <w:sz w:val="32"/>
          <w:szCs w:val="32"/>
        </w:rPr>
        <w:t>万元，公务接待费</w:t>
      </w:r>
      <w:r>
        <w:rPr>
          <w:rFonts w:hint="eastAsia" w:ascii="仿宋_GB2312" w:hAnsi="宋体" w:eastAsia="仿宋_GB2312" w:cs="宋体"/>
          <w:color w:val="auto"/>
          <w:kern w:val="0"/>
          <w:sz w:val="32"/>
          <w:szCs w:val="32"/>
          <w:lang w:eastAsia="zh-CN"/>
        </w:rPr>
        <w:t>0.47</w:t>
      </w:r>
      <w:r>
        <w:rPr>
          <w:rFonts w:hint="eastAsia" w:ascii="仿宋_GB2312" w:hAnsi="宋体" w:eastAsia="仿宋_GB2312" w:cs="宋体"/>
          <w:color w:val="auto"/>
          <w:kern w:val="0"/>
          <w:sz w:val="32"/>
          <w:szCs w:val="32"/>
        </w:rPr>
        <w:t>万元。</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2022年一般公共预算“三公”经费比上年</w:t>
      </w:r>
      <w:r>
        <w:rPr>
          <w:rFonts w:hint="eastAsia" w:ascii="仿宋_GB2312" w:hAnsi="宋体" w:eastAsia="仿宋_GB2312" w:cs="宋体"/>
          <w:color w:val="auto"/>
          <w:kern w:val="0"/>
          <w:sz w:val="32"/>
          <w:szCs w:val="32"/>
          <w:lang w:eastAsia="zh-CN"/>
        </w:rPr>
        <w:t>增加</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增长</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其中：因公出国（境）费增加</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，增长</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主要原因是</w:t>
      </w:r>
      <w:r>
        <w:rPr>
          <w:rFonts w:hint="eastAsia" w:ascii="仿宋_GB2312" w:hAnsi="宋体" w:eastAsia="仿宋_GB2312" w:cs="宋体"/>
          <w:color w:val="auto"/>
          <w:kern w:val="0"/>
          <w:sz w:val="32"/>
          <w:szCs w:val="32"/>
          <w:lang w:eastAsia="zh-CN"/>
        </w:rPr>
        <w:t>：未安排预算</w:t>
      </w:r>
      <w:r>
        <w:rPr>
          <w:rFonts w:hint="eastAsia" w:ascii="仿宋_GB2312" w:hAnsi="宋体" w:eastAsia="仿宋_GB2312" w:cs="宋体"/>
          <w:color w:val="auto"/>
          <w:kern w:val="0"/>
          <w:sz w:val="32"/>
          <w:szCs w:val="32"/>
        </w:rPr>
        <w:t>；公务用车购置费增加</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，增长</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主要原因是</w:t>
      </w:r>
      <w:r>
        <w:rPr>
          <w:rFonts w:hint="eastAsia" w:ascii="仿宋_GB2312" w:hAnsi="宋体" w:eastAsia="仿宋_GB2312" w:cs="宋体"/>
          <w:color w:val="auto"/>
          <w:kern w:val="0"/>
          <w:sz w:val="32"/>
          <w:szCs w:val="32"/>
          <w:lang w:eastAsia="zh-CN"/>
        </w:rPr>
        <w:t>：未安排预算</w:t>
      </w:r>
      <w:r>
        <w:rPr>
          <w:rFonts w:hint="eastAsia" w:ascii="仿宋_GB2312" w:hAnsi="宋体" w:eastAsia="仿宋_GB2312" w:cs="宋体"/>
          <w:color w:val="auto"/>
          <w:kern w:val="0"/>
          <w:sz w:val="32"/>
          <w:szCs w:val="32"/>
        </w:rPr>
        <w:t>；公务用车运行费</w:t>
      </w:r>
      <w:r>
        <w:rPr>
          <w:rFonts w:hint="eastAsia" w:ascii="仿宋_GB2312" w:hAnsi="宋体" w:eastAsia="仿宋_GB2312" w:cs="宋体"/>
          <w:color w:val="auto"/>
          <w:kern w:val="0"/>
          <w:sz w:val="32"/>
          <w:szCs w:val="32"/>
          <w:lang w:val="en-US" w:eastAsia="zh-CN"/>
        </w:rPr>
        <w:t>增加0</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增长</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，主要原因是</w:t>
      </w:r>
      <w:permStart w:id="20" w:edGrp="everyone"/>
      <w:r>
        <w:rPr>
          <w:rFonts w:hint="eastAsia" w:ascii="仿宋_GB2312" w:hAnsi="黑体" w:eastAsia="仿宋_GB2312" w:cs="宋体"/>
          <w:bCs/>
          <w:color w:val="auto"/>
          <w:kern w:val="0"/>
          <w:sz w:val="32"/>
          <w:szCs w:val="32"/>
          <w:lang w:val="en-US" w:eastAsia="zh-CN"/>
        </w:rPr>
        <w:t>严格执行中央八项规定，与上年度持平</w:t>
      </w:r>
      <w:permEnd w:id="20"/>
      <w:r>
        <w:rPr>
          <w:rFonts w:hint="eastAsia" w:ascii="仿宋_GB2312" w:hAnsi="宋体" w:eastAsia="仿宋_GB2312" w:cs="宋体"/>
          <w:color w:val="auto"/>
          <w:kern w:val="0"/>
          <w:sz w:val="32"/>
          <w:szCs w:val="32"/>
        </w:rPr>
        <w:t>；公务接待费</w:t>
      </w:r>
      <w:r>
        <w:rPr>
          <w:rFonts w:hint="eastAsia" w:ascii="仿宋_GB2312" w:hAnsi="宋体" w:eastAsia="仿宋_GB2312" w:cs="宋体"/>
          <w:color w:val="auto"/>
          <w:kern w:val="0"/>
          <w:sz w:val="32"/>
          <w:szCs w:val="32"/>
          <w:lang w:eastAsia="zh-CN"/>
        </w:rPr>
        <w:t>增加</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增长</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,主要原因是</w:t>
      </w:r>
      <w:permStart w:id="21" w:edGrp="everyone"/>
      <w:r>
        <w:rPr>
          <w:rFonts w:hint="eastAsia" w:ascii="仿宋_GB2312" w:hAnsi="宋体" w:eastAsia="仿宋_GB2312" w:cs="宋体"/>
          <w:color w:val="auto"/>
          <w:kern w:val="0"/>
          <w:sz w:val="32"/>
          <w:szCs w:val="32"/>
        </w:rPr>
        <w:t>严格执行中央八项规定，与上年度持平</w:t>
      </w:r>
      <w:permEnd w:id="21"/>
      <w:r>
        <w:rPr>
          <w:rFonts w:hint="eastAsia" w:ascii="仿宋_GB2312" w:hAnsi="宋体" w:eastAsia="仿宋_GB2312" w:cs="宋体"/>
          <w:color w:val="auto"/>
          <w:kern w:val="0"/>
          <w:sz w:val="32"/>
          <w:szCs w:val="32"/>
        </w:rPr>
        <w:t>。</w:t>
      </w:r>
    </w:p>
    <w:p>
      <w:pPr>
        <w:spacing w:line="560" w:lineRule="exact"/>
        <w:ind w:firstLine="640" w:firstLineChars="200"/>
        <w:rPr>
          <w:rFonts w:ascii="黑体" w:hAnsi="宋体" w:eastAsia="黑体" w:cs="宋体"/>
          <w:color w:val="auto"/>
          <w:kern w:val="0"/>
          <w:sz w:val="32"/>
          <w:szCs w:val="32"/>
        </w:rPr>
      </w:pPr>
      <w:r>
        <w:rPr>
          <w:rFonts w:hint="eastAsia" w:ascii="黑体" w:hAnsi="宋体" w:eastAsia="黑体" w:cs="宋体"/>
          <w:color w:val="auto"/>
          <w:kern w:val="0"/>
          <w:sz w:val="32"/>
          <w:szCs w:val="32"/>
        </w:rPr>
        <w:t>九、关于</w:t>
      </w:r>
      <w:r>
        <w:rPr>
          <w:rFonts w:hint="eastAsia" w:ascii="黑体" w:hAnsi="宋体" w:eastAsia="黑体" w:cs="宋体"/>
          <w:color w:val="auto"/>
          <w:kern w:val="0"/>
          <w:sz w:val="32"/>
          <w:szCs w:val="32"/>
          <w:lang w:eastAsia="zh-CN"/>
        </w:rPr>
        <w:t>中共若羌县纪律检查委员会</w:t>
      </w:r>
      <w:r>
        <w:rPr>
          <w:rFonts w:hint="eastAsia" w:ascii="黑体" w:hAnsi="宋体" w:eastAsia="黑体" w:cs="宋体"/>
          <w:color w:val="auto"/>
          <w:kern w:val="0"/>
          <w:sz w:val="32"/>
          <w:szCs w:val="32"/>
          <w:lang w:val="en-US" w:eastAsia="zh-CN"/>
        </w:rPr>
        <w:t>部门</w:t>
      </w:r>
      <w:r>
        <w:rPr>
          <w:rFonts w:hint="eastAsia" w:ascii="黑体" w:hAnsi="宋体" w:eastAsia="黑体" w:cs="宋体"/>
          <w:color w:val="auto"/>
          <w:kern w:val="0"/>
          <w:sz w:val="32"/>
          <w:szCs w:val="32"/>
        </w:rPr>
        <w:t>2022年政府性基金预算拨款情况说明</w:t>
      </w:r>
    </w:p>
    <w:p>
      <w:pPr>
        <w:spacing w:line="560" w:lineRule="exact"/>
        <w:ind w:firstLine="640" w:firstLineChars="200"/>
        <w:rPr>
          <w:rFonts w:ascii="仿宋_GB2312" w:hAnsi="宋体" w:eastAsia="仿宋_GB2312" w:cs="宋体"/>
          <w:b/>
          <w:color w:val="auto"/>
          <w:kern w:val="0"/>
          <w:sz w:val="32"/>
          <w:szCs w:val="32"/>
        </w:rPr>
      </w:pPr>
      <w:r>
        <w:rPr>
          <w:rFonts w:hint="eastAsia" w:ascii="仿宋_GB2312" w:hAnsi="宋体" w:eastAsia="仿宋_GB2312" w:cs="宋体"/>
          <w:b w:val="0"/>
          <w:bCs/>
          <w:color w:val="auto"/>
          <w:kern w:val="0"/>
          <w:sz w:val="32"/>
          <w:szCs w:val="32"/>
          <w:highlight w:val="none"/>
          <w:lang w:eastAsia="zh-CN"/>
        </w:rPr>
        <w:t>中共若羌县纪律检查委员会部门2022年没有使用政府性基金预算拨款安排的支出，政府性基金预算支出情况表为空表。</w:t>
      </w:r>
    </w:p>
    <w:p>
      <w:pPr>
        <w:spacing w:line="560" w:lineRule="exact"/>
        <w:ind w:firstLine="640" w:firstLineChars="200"/>
        <w:rPr>
          <w:rFonts w:ascii="黑体" w:hAnsi="宋体" w:eastAsia="黑体" w:cs="宋体"/>
          <w:color w:val="auto"/>
          <w:kern w:val="0"/>
          <w:sz w:val="32"/>
          <w:szCs w:val="32"/>
        </w:rPr>
      </w:pPr>
      <w:r>
        <w:rPr>
          <w:rFonts w:hint="eastAsia" w:ascii="黑体" w:hAnsi="宋体" w:eastAsia="黑体" w:cs="宋体"/>
          <w:color w:val="auto"/>
          <w:kern w:val="0"/>
          <w:sz w:val="32"/>
          <w:szCs w:val="32"/>
        </w:rPr>
        <w:t>十、其他重要事项的情况说明</w:t>
      </w:r>
    </w:p>
    <w:p>
      <w:pPr>
        <w:spacing w:line="560" w:lineRule="exact"/>
        <w:ind w:firstLine="643" w:firstLineChars="200"/>
        <w:rPr>
          <w:rFonts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rPr>
        <w:t>（一）机关运行经费情况</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2022年，</w:t>
      </w:r>
      <w:r>
        <w:rPr>
          <w:rFonts w:hint="eastAsia" w:ascii="仿宋_GB2312" w:hAnsi="宋体" w:eastAsia="仿宋_GB2312" w:cs="宋体"/>
          <w:color w:val="auto"/>
          <w:kern w:val="0"/>
          <w:sz w:val="32"/>
          <w:szCs w:val="32"/>
          <w:lang w:eastAsia="zh-CN"/>
        </w:rPr>
        <w:t>中共若羌县纪律检查委员会</w:t>
      </w:r>
      <w:r>
        <w:rPr>
          <w:rFonts w:hint="eastAsia" w:ascii="仿宋_GB2312" w:hAnsi="宋体" w:eastAsia="仿宋_GB2312" w:cs="宋体"/>
          <w:color w:val="auto"/>
          <w:kern w:val="0"/>
          <w:sz w:val="32"/>
          <w:szCs w:val="32"/>
        </w:rPr>
        <w:t>本级及下属</w:t>
      </w:r>
      <w:permStart w:id="22" w:edGrp="everyone"/>
      <w:r>
        <w:rPr>
          <w:rFonts w:hint="eastAsia" w:ascii="仿宋_GB2312" w:hAnsi="黑体" w:eastAsia="仿宋_GB2312" w:cs="宋体"/>
          <w:bCs/>
          <w:color w:val="auto"/>
          <w:kern w:val="0"/>
          <w:sz w:val="32"/>
          <w:szCs w:val="32"/>
          <w:lang w:val="en-US" w:eastAsia="zh-CN"/>
        </w:rPr>
        <w:t>0</w:t>
      </w:r>
      <w:permEnd w:id="22"/>
      <w:r>
        <w:rPr>
          <w:rFonts w:hint="eastAsia" w:ascii="仿宋_GB2312" w:hAnsi="宋体" w:eastAsia="仿宋_GB2312" w:cs="宋体"/>
          <w:color w:val="auto"/>
          <w:kern w:val="0"/>
          <w:sz w:val="32"/>
          <w:szCs w:val="32"/>
        </w:rPr>
        <w:t>家行政单位和</w:t>
      </w:r>
      <w:permStart w:id="23" w:edGrp="everyone"/>
      <w:r>
        <w:rPr>
          <w:rFonts w:hint="eastAsia" w:ascii="仿宋_GB2312" w:hAnsi="黑体" w:eastAsia="仿宋_GB2312" w:cs="宋体"/>
          <w:bCs/>
          <w:color w:val="auto"/>
          <w:kern w:val="0"/>
          <w:sz w:val="32"/>
          <w:szCs w:val="32"/>
          <w:lang w:val="en-US" w:eastAsia="zh-CN"/>
        </w:rPr>
        <w:t>0</w:t>
      </w:r>
      <w:permEnd w:id="23"/>
      <w:r>
        <w:rPr>
          <w:rFonts w:hint="eastAsia" w:ascii="仿宋_GB2312" w:hAnsi="宋体" w:eastAsia="仿宋_GB2312" w:cs="宋体"/>
          <w:color w:val="auto"/>
          <w:kern w:val="0"/>
          <w:sz w:val="32"/>
          <w:szCs w:val="32"/>
        </w:rPr>
        <w:t>家事业单位的机关运行经费财政拨款预算</w:t>
      </w:r>
      <w:r>
        <w:rPr>
          <w:rFonts w:hint="eastAsia" w:ascii="仿宋_GB2312" w:hAnsi="宋体" w:eastAsia="仿宋_GB2312" w:cs="宋体"/>
          <w:color w:val="auto"/>
          <w:kern w:val="0"/>
          <w:sz w:val="32"/>
          <w:szCs w:val="32"/>
          <w:lang w:eastAsia="zh-CN"/>
        </w:rPr>
        <w:t>162.73</w:t>
      </w:r>
      <w:r>
        <w:rPr>
          <w:rFonts w:hint="eastAsia" w:ascii="仿宋_GB2312" w:hAnsi="宋体" w:eastAsia="仿宋_GB2312" w:cs="宋体"/>
          <w:color w:val="auto"/>
          <w:kern w:val="0"/>
          <w:sz w:val="32"/>
          <w:szCs w:val="32"/>
        </w:rPr>
        <w:t>万元，比上年</w:t>
      </w:r>
      <w:r>
        <w:rPr>
          <w:rFonts w:hint="eastAsia" w:ascii="仿宋_GB2312" w:hAnsi="宋体" w:eastAsia="仿宋_GB2312" w:cs="宋体"/>
          <w:color w:val="auto"/>
          <w:kern w:val="0"/>
          <w:sz w:val="32"/>
          <w:szCs w:val="32"/>
          <w:lang w:eastAsia="zh-CN"/>
        </w:rPr>
        <w:t>减少20.40</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下降</w:t>
      </w:r>
      <w:r>
        <w:rPr>
          <w:rFonts w:hint="eastAsia" w:ascii="仿宋_GB2312" w:hAnsi="宋体" w:eastAsia="仿宋_GB2312" w:cs="宋体"/>
          <w:color w:val="auto"/>
          <w:kern w:val="0"/>
          <w:sz w:val="32"/>
          <w:szCs w:val="32"/>
          <w:lang w:val="en-US" w:eastAsia="zh-CN"/>
        </w:rPr>
        <w:t>11.14%</w:t>
      </w:r>
      <w:r>
        <w:rPr>
          <w:rFonts w:hint="eastAsia" w:ascii="仿宋_GB2312" w:hAnsi="宋体" w:eastAsia="仿宋_GB2312" w:cs="宋体"/>
          <w:color w:val="auto"/>
          <w:kern w:val="0"/>
          <w:sz w:val="32"/>
          <w:szCs w:val="32"/>
        </w:rPr>
        <w:t>。主要原因是</w:t>
      </w:r>
      <w:permStart w:id="24" w:edGrp="everyone"/>
      <w:r>
        <w:rPr>
          <w:rFonts w:hint="eastAsia" w:ascii="仿宋_GB2312" w:hAnsi="宋体" w:eastAsia="仿宋_GB2312" w:cs="宋体"/>
          <w:color w:val="auto"/>
          <w:kern w:val="0"/>
          <w:sz w:val="32"/>
          <w:szCs w:val="32"/>
          <w:lang w:val="en-US" w:eastAsia="zh-CN"/>
        </w:rPr>
        <w:t>社保基数调标</w:t>
      </w:r>
      <w:permEnd w:id="24"/>
      <w:r>
        <w:rPr>
          <w:rFonts w:hint="eastAsia" w:ascii="仿宋_GB2312" w:hAnsi="宋体" w:eastAsia="仿宋_GB2312" w:cs="宋体"/>
          <w:color w:val="auto"/>
          <w:kern w:val="0"/>
          <w:sz w:val="32"/>
          <w:szCs w:val="32"/>
        </w:rPr>
        <w:t>。</w:t>
      </w:r>
    </w:p>
    <w:p>
      <w:pPr>
        <w:spacing w:line="560" w:lineRule="exact"/>
        <w:ind w:firstLine="643" w:firstLineChars="200"/>
        <w:rPr>
          <w:rFonts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rPr>
        <w:t>（二）政府采购情况</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2022年，</w:t>
      </w:r>
      <w:r>
        <w:rPr>
          <w:rFonts w:hint="eastAsia" w:ascii="仿宋_GB2312" w:hAnsi="宋体" w:eastAsia="仿宋_GB2312" w:cs="宋体"/>
          <w:color w:val="auto"/>
          <w:kern w:val="0"/>
          <w:sz w:val="32"/>
          <w:szCs w:val="32"/>
          <w:lang w:eastAsia="zh-CN"/>
        </w:rPr>
        <w:t>中共若羌县纪律检查委员会</w:t>
      </w:r>
      <w:r>
        <w:rPr>
          <w:rFonts w:hint="eastAsia" w:ascii="仿宋_GB2312" w:hAnsi="宋体" w:eastAsia="仿宋_GB2312" w:cs="宋体"/>
          <w:color w:val="auto"/>
          <w:kern w:val="0"/>
          <w:sz w:val="32"/>
          <w:szCs w:val="32"/>
          <w:lang w:val="en-US" w:eastAsia="zh-CN"/>
        </w:rPr>
        <w:t>部门</w:t>
      </w:r>
      <w:r>
        <w:rPr>
          <w:rFonts w:hint="eastAsia" w:ascii="仿宋_GB2312" w:hAnsi="宋体" w:eastAsia="仿宋_GB2312" w:cs="宋体"/>
          <w:color w:val="auto"/>
          <w:kern w:val="0"/>
          <w:sz w:val="32"/>
          <w:szCs w:val="32"/>
        </w:rPr>
        <w:t>政府采购预算</w:t>
      </w:r>
      <w:r>
        <w:rPr>
          <w:rFonts w:hint="eastAsia" w:ascii="仿宋_GB2312" w:hAnsi="宋体" w:eastAsia="仿宋_GB2312" w:cs="宋体"/>
          <w:color w:val="auto"/>
          <w:kern w:val="0"/>
          <w:sz w:val="32"/>
          <w:szCs w:val="32"/>
          <w:lang w:eastAsia="zh-CN"/>
        </w:rPr>
        <w:t>38.50</w:t>
      </w:r>
      <w:r>
        <w:rPr>
          <w:rFonts w:hint="eastAsia" w:ascii="仿宋_GB2312" w:hAnsi="宋体" w:eastAsia="仿宋_GB2312" w:cs="宋体"/>
          <w:color w:val="auto"/>
          <w:kern w:val="0"/>
          <w:sz w:val="32"/>
          <w:szCs w:val="32"/>
        </w:rPr>
        <w:t>万元，其中：政府采购货物预算</w:t>
      </w:r>
      <w:r>
        <w:rPr>
          <w:rFonts w:hint="eastAsia" w:ascii="仿宋_GB2312" w:hAnsi="宋体" w:eastAsia="仿宋_GB2312" w:cs="宋体"/>
          <w:color w:val="auto"/>
          <w:kern w:val="0"/>
          <w:sz w:val="32"/>
          <w:szCs w:val="32"/>
          <w:lang w:eastAsia="zh-CN"/>
        </w:rPr>
        <w:t>38.50</w:t>
      </w:r>
      <w:r>
        <w:rPr>
          <w:rFonts w:hint="eastAsia" w:ascii="仿宋_GB2312" w:hAnsi="宋体" w:eastAsia="仿宋_GB2312" w:cs="宋体"/>
          <w:color w:val="auto"/>
          <w:kern w:val="0"/>
          <w:sz w:val="32"/>
          <w:szCs w:val="32"/>
        </w:rPr>
        <w:t>万元，政府采购工程预算</w:t>
      </w:r>
      <w:r>
        <w:rPr>
          <w:rFonts w:hint="eastAsia" w:ascii="仿宋_GB2312" w:hAnsi="宋体" w:eastAsia="仿宋_GB2312" w:cs="宋体"/>
          <w:color w:val="auto"/>
          <w:kern w:val="0"/>
          <w:sz w:val="32"/>
          <w:szCs w:val="32"/>
          <w:lang w:eastAsia="zh-CN"/>
        </w:rPr>
        <w:t>0</w:t>
      </w:r>
      <w:r>
        <w:rPr>
          <w:rFonts w:hint="eastAsia" w:ascii="仿宋_GB2312" w:hAnsi="宋体" w:eastAsia="仿宋_GB2312" w:cs="宋体"/>
          <w:color w:val="auto"/>
          <w:kern w:val="0"/>
          <w:sz w:val="32"/>
          <w:szCs w:val="32"/>
        </w:rPr>
        <w:t>万元，政府采购服务预算</w:t>
      </w:r>
      <w:r>
        <w:rPr>
          <w:rFonts w:hint="eastAsia" w:ascii="仿宋_GB2312" w:hAnsi="宋体" w:eastAsia="仿宋_GB2312" w:cs="宋体"/>
          <w:color w:val="auto"/>
          <w:kern w:val="0"/>
          <w:sz w:val="32"/>
          <w:szCs w:val="32"/>
          <w:lang w:eastAsia="zh-CN"/>
        </w:rPr>
        <w:t>0</w:t>
      </w:r>
      <w:r>
        <w:rPr>
          <w:rFonts w:hint="eastAsia" w:ascii="仿宋_GB2312" w:hAnsi="宋体" w:eastAsia="仿宋_GB2312" w:cs="宋体"/>
          <w:color w:val="auto"/>
          <w:kern w:val="0"/>
          <w:sz w:val="32"/>
          <w:szCs w:val="32"/>
        </w:rPr>
        <w:t>万元。</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仿宋_GB2312" w:eastAsia="仿宋_GB2312"/>
          <w:color w:val="auto"/>
          <w:sz w:val="32"/>
        </w:rPr>
        <w:t>2022年度本</w:t>
      </w:r>
      <w:r>
        <w:rPr>
          <w:rFonts w:hint="eastAsia" w:ascii="仿宋_GB2312" w:hAnsi="仿宋_GB2312" w:eastAsia="仿宋_GB2312"/>
          <w:color w:val="auto"/>
          <w:sz w:val="32"/>
          <w:highlight w:val="none"/>
          <w:lang w:eastAsia="zh-CN"/>
        </w:rPr>
        <w:t>中共若羌县纪律检查委员会</w:t>
      </w:r>
      <w:r>
        <w:rPr>
          <w:rFonts w:hint="eastAsia" w:ascii="仿宋_GB2312" w:hAnsi="仿宋_GB2312" w:eastAsia="仿宋_GB2312"/>
          <w:color w:val="auto"/>
          <w:sz w:val="32"/>
          <w:highlight w:val="none"/>
          <w:lang w:val="en-US" w:eastAsia="zh-CN"/>
        </w:rPr>
        <w:t>部门</w:t>
      </w:r>
      <w:r>
        <w:rPr>
          <w:rFonts w:hint="eastAsia" w:ascii="仿宋_GB2312" w:hAnsi="仿宋_GB2312" w:eastAsia="仿宋_GB2312"/>
          <w:color w:val="auto"/>
          <w:sz w:val="32"/>
          <w:highlight w:val="none"/>
        </w:rPr>
        <w:t>面向中小企</w:t>
      </w:r>
      <w:r>
        <w:rPr>
          <w:rFonts w:hint="eastAsia" w:ascii="仿宋_GB2312" w:hAnsi="仿宋_GB2312" w:eastAsia="仿宋_GB2312"/>
          <w:color w:val="auto"/>
          <w:sz w:val="32"/>
        </w:rPr>
        <w:t>业预留政府采购项目预算金额</w:t>
      </w:r>
      <w:r>
        <w:rPr>
          <w:rFonts w:hint="eastAsia" w:ascii="仿宋_GB2312" w:hAnsi="仿宋_GB2312" w:eastAsia="仿宋_GB2312"/>
          <w:color w:val="auto"/>
          <w:sz w:val="32"/>
          <w:lang w:eastAsia="zh-CN"/>
        </w:rPr>
        <w:t>38.50</w:t>
      </w:r>
      <w:r>
        <w:rPr>
          <w:rFonts w:hint="eastAsia" w:ascii="仿宋_GB2312" w:hAnsi="仿宋_GB2312" w:eastAsia="仿宋_GB2312"/>
          <w:color w:val="auto"/>
          <w:sz w:val="32"/>
        </w:rPr>
        <w:t>万元，其中：面向小微企业预留政府采购项目预算金额</w:t>
      </w:r>
      <w:r>
        <w:rPr>
          <w:rFonts w:hint="eastAsia" w:ascii="仿宋_GB2312" w:hAnsi="仿宋_GB2312" w:eastAsia="仿宋_GB2312"/>
          <w:color w:val="auto"/>
          <w:sz w:val="32"/>
          <w:lang w:eastAsia="zh-CN"/>
        </w:rPr>
        <w:t>38.50</w:t>
      </w:r>
      <w:r>
        <w:rPr>
          <w:rFonts w:hint="eastAsia" w:ascii="仿宋_GB2312" w:hAnsi="仿宋_GB2312" w:eastAsia="仿宋_GB2312"/>
          <w:color w:val="auto"/>
          <w:sz w:val="32"/>
        </w:rPr>
        <w:t>万元。</w:t>
      </w:r>
    </w:p>
    <w:p>
      <w:pPr>
        <w:spacing w:line="560" w:lineRule="exact"/>
        <w:ind w:firstLine="643" w:firstLineChars="200"/>
        <w:rPr>
          <w:rFonts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rPr>
        <w:t>（三）国有资产占用使用情况</w:t>
      </w:r>
    </w:p>
    <w:p>
      <w:pPr>
        <w:spacing w:line="560" w:lineRule="exact"/>
        <w:ind w:firstLine="640" w:firstLineChars="200"/>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截至2021年底，</w:t>
      </w:r>
      <w:r>
        <w:rPr>
          <w:rFonts w:hint="eastAsia" w:ascii="仿宋_GB2312" w:hAnsi="宋体" w:eastAsia="仿宋_GB2312" w:cs="宋体"/>
          <w:color w:val="auto"/>
          <w:kern w:val="0"/>
          <w:sz w:val="32"/>
          <w:szCs w:val="32"/>
          <w:lang w:eastAsia="zh-CN"/>
        </w:rPr>
        <w:t>中共若羌县纪律检查委员会</w:t>
      </w:r>
      <w:r>
        <w:rPr>
          <w:rFonts w:hint="eastAsia" w:ascii="仿宋_GB2312" w:hAnsi="宋体" w:eastAsia="仿宋_GB2312" w:cs="宋体"/>
          <w:color w:val="auto"/>
          <w:kern w:val="0"/>
          <w:sz w:val="32"/>
          <w:szCs w:val="32"/>
          <w:lang w:val="en-US" w:eastAsia="zh-CN"/>
        </w:rPr>
        <w:t>部门</w:t>
      </w:r>
      <w:r>
        <w:rPr>
          <w:rFonts w:hint="eastAsia" w:ascii="仿宋_GB2312" w:hAnsi="宋体" w:eastAsia="仿宋_GB2312" w:cs="宋体"/>
          <w:color w:val="auto"/>
          <w:kern w:val="0"/>
          <w:sz w:val="32"/>
          <w:szCs w:val="32"/>
        </w:rPr>
        <w:t>及下属各预算单位占用使用国有资产总体情况为</w:t>
      </w:r>
      <w:r>
        <w:rPr>
          <w:rFonts w:hint="eastAsia" w:ascii="仿宋_GB2312" w:hAnsi="宋体" w:eastAsia="仿宋_GB2312" w:cs="宋体"/>
          <w:color w:val="auto"/>
          <w:kern w:val="0"/>
          <w:sz w:val="32"/>
          <w:szCs w:val="32"/>
          <w:lang w:eastAsia="zh-CN"/>
        </w:rPr>
        <w:t>：</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1.房屋</w:t>
      </w:r>
      <w:permStart w:id="25" w:edGrp="everyone"/>
      <w:r>
        <w:rPr>
          <w:rFonts w:hint="eastAsia" w:ascii="仿宋_GB2312" w:hAnsi="黑体" w:eastAsia="仿宋_GB2312" w:cs="宋体"/>
          <w:bCs/>
          <w:color w:val="auto"/>
          <w:kern w:val="0"/>
          <w:sz w:val="32"/>
          <w:szCs w:val="32"/>
          <w:lang w:val="en-US" w:eastAsia="zh-CN"/>
        </w:rPr>
        <w:t>0</w:t>
      </w:r>
      <w:permEnd w:id="25"/>
      <w:r>
        <w:rPr>
          <w:rFonts w:hint="eastAsia" w:ascii="仿宋_GB2312" w:hAnsi="宋体" w:eastAsia="仿宋_GB2312" w:cs="宋体"/>
          <w:color w:val="auto"/>
          <w:kern w:val="0"/>
          <w:sz w:val="32"/>
          <w:szCs w:val="32"/>
        </w:rPr>
        <w:t>平方米，价值</w:t>
      </w:r>
      <w:permStart w:id="26" w:edGrp="everyone"/>
      <w:r>
        <w:rPr>
          <w:rFonts w:hint="eastAsia" w:ascii="仿宋_GB2312" w:hAnsi="黑体" w:eastAsia="仿宋_GB2312" w:cs="宋体"/>
          <w:bCs/>
          <w:color w:val="auto"/>
          <w:kern w:val="0"/>
          <w:sz w:val="32"/>
          <w:szCs w:val="32"/>
          <w:lang w:val="en-US" w:eastAsia="zh-CN"/>
        </w:rPr>
        <w:t>0</w:t>
      </w:r>
      <w:permEnd w:id="26"/>
      <w:r>
        <w:rPr>
          <w:rFonts w:hint="eastAsia" w:ascii="仿宋_GB2312" w:hAnsi="宋体" w:eastAsia="仿宋_GB2312" w:cs="宋体"/>
          <w:color w:val="auto"/>
          <w:kern w:val="0"/>
          <w:sz w:val="32"/>
          <w:szCs w:val="32"/>
        </w:rPr>
        <w:t>万元。</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2.车辆</w:t>
      </w:r>
      <w:permStart w:id="27" w:edGrp="everyone"/>
      <w:r>
        <w:rPr>
          <w:rFonts w:hint="eastAsia" w:ascii="仿宋_GB2312" w:hAnsi="黑体" w:eastAsia="仿宋_GB2312" w:cs="宋体"/>
          <w:bCs/>
          <w:color w:val="auto"/>
          <w:kern w:val="0"/>
          <w:sz w:val="32"/>
          <w:szCs w:val="32"/>
          <w:lang w:val="en-US" w:eastAsia="zh-CN"/>
        </w:rPr>
        <w:t>5</w:t>
      </w:r>
      <w:permEnd w:id="27"/>
      <w:r>
        <w:rPr>
          <w:rFonts w:hint="eastAsia" w:ascii="仿宋_GB2312" w:hAnsi="宋体" w:eastAsia="仿宋_GB2312" w:cs="宋体"/>
          <w:color w:val="auto"/>
          <w:kern w:val="0"/>
          <w:sz w:val="32"/>
          <w:szCs w:val="32"/>
        </w:rPr>
        <w:t>辆，价值</w:t>
      </w:r>
      <w:permStart w:id="28" w:edGrp="everyone"/>
      <w:r>
        <w:rPr>
          <w:rFonts w:hint="eastAsia" w:ascii="仿宋_GB2312" w:hAnsi="黑体" w:eastAsia="仿宋_GB2312" w:cs="宋体"/>
          <w:bCs/>
          <w:color w:val="auto"/>
          <w:kern w:val="0"/>
          <w:sz w:val="32"/>
          <w:szCs w:val="32"/>
          <w:lang w:val="en-US" w:eastAsia="zh-CN"/>
        </w:rPr>
        <w:t>64.53</w:t>
      </w:r>
      <w:permEnd w:id="28"/>
      <w:r>
        <w:rPr>
          <w:rFonts w:hint="eastAsia" w:ascii="仿宋_GB2312" w:hAnsi="宋体" w:eastAsia="仿宋_GB2312" w:cs="宋体"/>
          <w:color w:val="auto"/>
          <w:kern w:val="0"/>
          <w:sz w:val="32"/>
          <w:szCs w:val="32"/>
        </w:rPr>
        <w:t>万元；其中：一般公务用车</w:t>
      </w:r>
      <w:permStart w:id="29" w:edGrp="everyone"/>
      <w:r>
        <w:rPr>
          <w:rFonts w:hint="eastAsia" w:ascii="仿宋_GB2312" w:hAnsi="黑体" w:eastAsia="仿宋_GB2312" w:cs="宋体"/>
          <w:bCs/>
          <w:color w:val="auto"/>
          <w:kern w:val="0"/>
          <w:sz w:val="32"/>
          <w:szCs w:val="32"/>
          <w:lang w:val="en-US" w:eastAsia="zh-CN"/>
        </w:rPr>
        <w:t>0</w:t>
      </w:r>
      <w:permEnd w:id="29"/>
      <w:r>
        <w:rPr>
          <w:rFonts w:hint="eastAsia" w:ascii="仿宋_GB2312" w:hAnsi="宋体" w:eastAsia="仿宋_GB2312" w:cs="宋体"/>
          <w:color w:val="auto"/>
          <w:kern w:val="0"/>
          <w:sz w:val="32"/>
          <w:szCs w:val="32"/>
        </w:rPr>
        <w:t>辆，价值</w:t>
      </w:r>
      <w:permStart w:id="30" w:edGrp="everyone"/>
      <w:r>
        <w:rPr>
          <w:rFonts w:hint="eastAsia" w:ascii="仿宋_GB2312" w:hAnsi="黑体" w:eastAsia="仿宋_GB2312" w:cs="宋体"/>
          <w:bCs/>
          <w:color w:val="auto"/>
          <w:kern w:val="0"/>
          <w:sz w:val="32"/>
          <w:szCs w:val="32"/>
          <w:lang w:val="en-US" w:eastAsia="zh-CN"/>
        </w:rPr>
        <w:t>0</w:t>
      </w:r>
      <w:permEnd w:id="30"/>
      <w:r>
        <w:rPr>
          <w:rFonts w:hint="eastAsia" w:ascii="仿宋_GB2312" w:hAnsi="宋体" w:eastAsia="仿宋_GB2312" w:cs="宋体"/>
          <w:color w:val="auto"/>
          <w:kern w:val="0"/>
          <w:sz w:val="32"/>
          <w:szCs w:val="32"/>
        </w:rPr>
        <w:t>万元；执法执勤用车</w:t>
      </w:r>
      <w:permStart w:id="31" w:edGrp="everyone"/>
      <w:r>
        <w:rPr>
          <w:rFonts w:hint="eastAsia" w:ascii="仿宋_GB2312" w:hAnsi="黑体" w:eastAsia="仿宋_GB2312" w:cs="宋体"/>
          <w:bCs/>
          <w:color w:val="auto"/>
          <w:kern w:val="0"/>
          <w:sz w:val="32"/>
          <w:szCs w:val="32"/>
          <w:lang w:val="en-US" w:eastAsia="zh-CN"/>
        </w:rPr>
        <w:t>5</w:t>
      </w:r>
      <w:permEnd w:id="31"/>
      <w:r>
        <w:rPr>
          <w:rFonts w:hint="eastAsia" w:ascii="仿宋_GB2312" w:hAnsi="宋体" w:eastAsia="仿宋_GB2312" w:cs="宋体"/>
          <w:color w:val="auto"/>
          <w:kern w:val="0"/>
          <w:sz w:val="32"/>
          <w:szCs w:val="32"/>
        </w:rPr>
        <w:t>辆，价值</w:t>
      </w:r>
      <w:permStart w:id="32" w:edGrp="everyone"/>
      <w:r>
        <w:rPr>
          <w:rFonts w:hint="eastAsia" w:ascii="仿宋_GB2312" w:hAnsi="黑体" w:eastAsia="仿宋_GB2312" w:cs="宋体"/>
          <w:bCs/>
          <w:color w:val="auto"/>
          <w:kern w:val="0"/>
          <w:sz w:val="32"/>
          <w:szCs w:val="32"/>
          <w:lang w:val="en-US" w:eastAsia="zh-CN"/>
        </w:rPr>
        <w:t>64.53</w:t>
      </w:r>
      <w:permEnd w:id="32"/>
      <w:r>
        <w:rPr>
          <w:rFonts w:hint="eastAsia" w:ascii="仿宋_GB2312" w:hAnsi="宋体" w:eastAsia="仿宋_GB2312" w:cs="宋体"/>
          <w:color w:val="auto"/>
          <w:kern w:val="0"/>
          <w:sz w:val="32"/>
          <w:szCs w:val="32"/>
        </w:rPr>
        <w:t>万元；其他车辆</w:t>
      </w:r>
      <w:permStart w:id="33" w:edGrp="everyone"/>
      <w:r>
        <w:rPr>
          <w:rFonts w:hint="eastAsia" w:ascii="仿宋_GB2312" w:hAnsi="黑体" w:eastAsia="仿宋_GB2312" w:cs="宋体"/>
          <w:bCs/>
          <w:color w:val="auto"/>
          <w:kern w:val="0"/>
          <w:sz w:val="32"/>
          <w:szCs w:val="32"/>
          <w:lang w:val="en-US" w:eastAsia="zh-CN"/>
        </w:rPr>
        <w:t>0</w:t>
      </w:r>
      <w:permEnd w:id="33"/>
      <w:r>
        <w:rPr>
          <w:rFonts w:hint="eastAsia" w:ascii="仿宋_GB2312" w:hAnsi="宋体" w:eastAsia="仿宋_GB2312" w:cs="宋体"/>
          <w:color w:val="auto"/>
          <w:kern w:val="0"/>
          <w:sz w:val="32"/>
          <w:szCs w:val="32"/>
        </w:rPr>
        <w:t>辆，价值</w:t>
      </w:r>
      <w:permStart w:id="34" w:edGrp="everyone"/>
      <w:r>
        <w:rPr>
          <w:rFonts w:hint="eastAsia" w:ascii="仿宋_GB2312" w:hAnsi="黑体" w:eastAsia="仿宋_GB2312" w:cs="宋体"/>
          <w:bCs/>
          <w:color w:val="auto"/>
          <w:kern w:val="0"/>
          <w:sz w:val="32"/>
          <w:szCs w:val="32"/>
          <w:lang w:val="en-US" w:eastAsia="zh-CN"/>
        </w:rPr>
        <w:t>0</w:t>
      </w:r>
      <w:permEnd w:id="34"/>
      <w:r>
        <w:rPr>
          <w:rFonts w:hint="eastAsia" w:ascii="仿宋_GB2312" w:hAnsi="宋体" w:eastAsia="仿宋_GB2312" w:cs="宋体"/>
          <w:color w:val="auto"/>
          <w:kern w:val="0"/>
          <w:sz w:val="32"/>
          <w:szCs w:val="32"/>
        </w:rPr>
        <w:t>万元。</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3.办公家具价值</w:t>
      </w:r>
      <w:permStart w:id="35" w:edGrp="everyone"/>
      <w:r>
        <w:rPr>
          <w:rFonts w:hint="eastAsia" w:ascii="仿宋_GB2312" w:hAnsi="黑体" w:eastAsia="仿宋_GB2312" w:cs="宋体"/>
          <w:bCs/>
          <w:color w:val="auto"/>
          <w:kern w:val="0"/>
          <w:sz w:val="32"/>
          <w:szCs w:val="32"/>
          <w:lang w:val="en-US" w:eastAsia="zh-CN"/>
        </w:rPr>
        <w:t>66.3</w:t>
      </w:r>
      <w:permEnd w:id="35"/>
      <w:r>
        <w:rPr>
          <w:rFonts w:hint="eastAsia" w:ascii="仿宋_GB2312" w:hAnsi="宋体" w:eastAsia="仿宋_GB2312" w:cs="宋体"/>
          <w:color w:val="auto"/>
          <w:kern w:val="0"/>
          <w:sz w:val="32"/>
          <w:szCs w:val="32"/>
        </w:rPr>
        <w:t>万元。</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4.其他资产价值</w:t>
      </w:r>
      <w:permStart w:id="36" w:edGrp="everyone"/>
      <w:r>
        <w:rPr>
          <w:rFonts w:hint="eastAsia" w:ascii="仿宋_GB2312" w:hAnsi="黑体" w:eastAsia="仿宋_GB2312" w:cs="宋体"/>
          <w:bCs/>
          <w:color w:val="auto"/>
          <w:kern w:val="0"/>
          <w:sz w:val="32"/>
          <w:szCs w:val="32"/>
          <w:lang w:val="en-US" w:eastAsia="zh-CN"/>
        </w:rPr>
        <w:t>253.17</w:t>
      </w:r>
      <w:permEnd w:id="36"/>
      <w:r>
        <w:rPr>
          <w:rFonts w:hint="eastAsia" w:ascii="仿宋_GB2312" w:hAnsi="宋体" w:eastAsia="仿宋_GB2312" w:cs="宋体"/>
          <w:color w:val="auto"/>
          <w:kern w:val="0"/>
          <w:sz w:val="32"/>
          <w:szCs w:val="32"/>
        </w:rPr>
        <w:t>万元。</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单位价值50万元以上大型设备</w:t>
      </w:r>
      <w:permStart w:id="37" w:edGrp="everyone"/>
      <w:r>
        <w:rPr>
          <w:rFonts w:hint="eastAsia" w:ascii="仿宋_GB2312" w:hAnsi="黑体" w:eastAsia="仿宋_GB2312" w:cs="宋体"/>
          <w:bCs/>
          <w:color w:val="auto"/>
          <w:kern w:val="0"/>
          <w:sz w:val="32"/>
          <w:szCs w:val="32"/>
          <w:lang w:val="en-US" w:eastAsia="zh-CN"/>
        </w:rPr>
        <w:t>0</w:t>
      </w:r>
      <w:r>
        <w:rPr>
          <w:rFonts w:hint="eastAsia" w:ascii="仿宋_GB2312" w:hAnsi="宋体" w:eastAsia="仿宋_GB2312" w:cs="宋体"/>
          <w:color w:val="auto"/>
          <w:kern w:val="0"/>
          <w:sz w:val="32"/>
          <w:szCs w:val="32"/>
        </w:rPr>
        <w:t>台（套）</w:t>
      </w:r>
      <w:permEnd w:id="37"/>
      <w:r>
        <w:rPr>
          <w:rFonts w:hint="eastAsia" w:ascii="仿宋_GB2312" w:hAnsi="宋体" w:eastAsia="仿宋_GB2312" w:cs="宋体"/>
          <w:color w:val="auto"/>
          <w:kern w:val="0"/>
          <w:sz w:val="32"/>
          <w:szCs w:val="32"/>
        </w:rPr>
        <w:t>，单位价值100万元以上大型设备</w:t>
      </w:r>
      <w:permStart w:id="38" w:edGrp="everyone"/>
      <w:r>
        <w:rPr>
          <w:rFonts w:hint="eastAsia" w:ascii="仿宋_GB2312" w:hAnsi="黑体" w:eastAsia="仿宋_GB2312" w:cs="宋体"/>
          <w:bCs/>
          <w:color w:val="auto"/>
          <w:kern w:val="0"/>
          <w:sz w:val="32"/>
          <w:szCs w:val="32"/>
          <w:lang w:val="en-US" w:eastAsia="zh-CN"/>
        </w:rPr>
        <w:t>0</w:t>
      </w:r>
      <w:r>
        <w:rPr>
          <w:rFonts w:hint="eastAsia" w:ascii="仿宋_GB2312" w:hAnsi="宋体" w:eastAsia="仿宋_GB2312" w:cs="宋体"/>
          <w:color w:val="auto"/>
          <w:kern w:val="0"/>
          <w:sz w:val="32"/>
          <w:szCs w:val="32"/>
        </w:rPr>
        <w:t>台（套）</w:t>
      </w:r>
      <w:permEnd w:id="38"/>
      <w:r>
        <w:rPr>
          <w:rFonts w:hint="eastAsia" w:ascii="仿宋_GB2312" w:hAnsi="宋体" w:eastAsia="仿宋_GB2312" w:cs="宋体"/>
          <w:color w:val="auto"/>
          <w:kern w:val="0"/>
          <w:sz w:val="32"/>
          <w:szCs w:val="32"/>
        </w:rPr>
        <w:t>。</w:t>
      </w:r>
    </w:p>
    <w:p>
      <w:pPr>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2022年</w:t>
      </w:r>
      <w:r>
        <w:rPr>
          <w:rFonts w:hint="eastAsia" w:ascii="仿宋_GB2312" w:hAnsi="宋体" w:eastAsia="仿宋_GB2312" w:cs="宋体"/>
          <w:color w:val="auto"/>
          <w:kern w:val="0"/>
          <w:sz w:val="32"/>
          <w:szCs w:val="32"/>
          <w:lang w:eastAsia="zh-CN"/>
        </w:rPr>
        <w:t>中共若羌县纪律检查委员会</w:t>
      </w:r>
      <w:r>
        <w:rPr>
          <w:rFonts w:hint="eastAsia" w:ascii="仿宋_GB2312" w:hAnsi="宋体" w:eastAsia="仿宋_GB2312" w:cs="宋体"/>
          <w:color w:val="auto"/>
          <w:kern w:val="0"/>
          <w:sz w:val="32"/>
          <w:szCs w:val="32"/>
          <w:lang w:val="en-US" w:eastAsia="zh-CN"/>
        </w:rPr>
        <w:t>部门</w:t>
      </w:r>
      <w:r>
        <w:rPr>
          <w:rFonts w:hint="eastAsia" w:ascii="仿宋_GB2312" w:hAnsi="宋体" w:eastAsia="仿宋_GB2312" w:cs="宋体"/>
          <w:color w:val="auto"/>
          <w:kern w:val="0"/>
          <w:sz w:val="32"/>
          <w:szCs w:val="32"/>
        </w:rPr>
        <w:t>预算未安排购置车辆经费，安排购置50万元以上大型设备</w:t>
      </w:r>
      <w:permStart w:id="39" w:edGrp="everyone"/>
      <w:r>
        <w:rPr>
          <w:rFonts w:hint="eastAsia" w:ascii="仿宋_GB2312" w:hAnsi="黑体" w:eastAsia="仿宋_GB2312" w:cs="宋体"/>
          <w:bCs/>
          <w:color w:val="auto"/>
          <w:kern w:val="0"/>
          <w:sz w:val="32"/>
          <w:szCs w:val="32"/>
          <w:lang w:val="en-US" w:eastAsia="zh-CN"/>
        </w:rPr>
        <w:t>0</w:t>
      </w:r>
      <w:r>
        <w:rPr>
          <w:rFonts w:hint="eastAsia" w:ascii="仿宋_GB2312" w:hAnsi="宋体" w:eastAsia="仿宋_GB2312" w:cs="宋体"/>
          <w:color w:val="auto"/>
          <w:kern w:val="0"/>
          <w:sz w:val="32"/>
          <w:szCs w:val="32"/>
        </w:rPr>
        <w:t>台（套）</w:t>
      </w:r>
      <w:permEnd w:id="39"/>
      <w:r>
        <w:rPr>
          <w:rFonts w:hint="eastAsia" w:ascii="仿宋_GB2312" w:hAnsi="宋体" w:eastAsia="仿宋_GB2312" w:cs="宋体"/>
          <w:color w:val="auto"/>
          <w:kern w:val="0"/>
          <w:sz w:val="32"/>
          <w:szCs w:val="32"/>
        </w:rPr>
        <w:t>，单位价值100万元以上大型设备</w:t>
      </w:r>
      <w:permStart w:id="40" w:edGrp="everyone"/>
      <w:r>
        <w:rPr>
          <w:rFonts w:hint="eastAsia" w:ascii="仿宋_GB2312" w:hAnsi="黑体" w:eastAsia="仿宋_GB2312" w:cs="宋体"/>
          <w:bCs/>
          <w:color w:val="auto"/>
          <w:kern w:val="0"/>
          <w:sz w:val="32"/>
          <w:szCs w:val="32"/>
          <w:lang w:val="en-US" w:eastAsia="zh-CN"/>
        </w:rPr>
        <w:t>0</w:t>
      </w:r>
      <w:r>
        <w:rPr>
          <w:rFonts w:hint="eastAsia" w:ascii="仿宋_GB2312" w:hAnsi="宋体" w:eastAsia="仿宋_GB2312" w:cs="宋体"/>
          <w:color w:val="auto"/>
          <w:kern w:val="0"/>
          <w:sz w:val="32"/>
          <w:szCs w:val="32"/>
        </w:rPr>
        <w:t>台（套）</w:t>
      </w:r>
      <w:permEnd w:id="40"/>
      <w:r>
        <w:rPr>
          <w:rFonts w:hint="eastAsia" w:ascii="仿宋_GB2312" w:hAnsi="宋体" w:eastAsia="仿宋_GB2312" w:cs="宋体"/>
          <w:color w:val="auto"/>
          <w:kern w:val="0"/>
          <w:sz w:val="32"/>
          <w:szCs w:val="32"/>
        </w:rPr>
        <w:t>。</w:t>
      </w:r>
    </w:p>
    <w:p>
      <w:pPr>
        <w:spacing w:line="560" w:lineRule="exact"/>
        <w:ind w:firstLine="643" w:firstLineChars="200"/>
        <w:rPr>
          <w:rFonts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rPr>
        <w:t>（四）预算绩效情况</w:t>
      </w:r>
    </w:p>
    <w:p>
      <w:pPr>
        <w:spacing w:line="560" w:lineRule="exact"/>
        <w:ind w:firstLine="640" w:firstLineChars="200"/>
        <w:rPr>
          <w:rFonts w:ascii="仿宋_GB2312" w:hAnsi="宋体" w:eastAsia="仿宋_GB2312" w:cs="宋体"/>
          <w:color w:val="auto"/>
          <w:kern w:val="0"/>
          <w:sz w:val="32"/>
          <w:szCs w:val="32"/>
          <w:highlight w:val="none"/>
        </w:rPr>
      </w:pPr>
      <w:permStart w:id="41" w:edGrp="everyone"/>
      <w:r>
        <w:rPr>
          <w:rFonts w:hint="eastAsia" w:ascii="仿宋_GB2312" w:hAnsi="宋体" w:eastAsia="仿宋_GB2312" w:cs="宋体"/>
          <w:color w:val="auto"/>
          <w:kern w:val="0"/>
          <w:sz w:val="32"/>
          <w:szCs w:val="32"/>
          <w:highlight w:val="none"/>
        </w:rPr>
        <w:t>2022年度，本年度预算绩效管理的财政拨款项目</w:t>
      </w: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rPr>
        <w:t>个，涉及预算金额</w:t>
      </w:r>
      <w:r>
        <w:rPr>
          <w:rFonts w:hint="eastAsia" w:ascii="仿宋_GB2312" w:hAnsi="宋体" w:eastAsia="仿宋_GB2312" w:cs="宋体"/>
          <w:color w:val="auto"/>
          <w:kern w:val="0"/>
          <w:sz w:val="32"/>
          <w:szCs w:val="32"/>
          <w:highlight w:val="none"/>
          <w:lang w:eastAsia="zh-CN"/>
        </w:rPr>
        <w:t>300.06</w:t>
      </w:r>
      <w:r>
        <w:rPr>
          <w:rFonts w:hint="eastAsia" w:ascii="仿宋_GB2312" w:hAnsi="宋体" w:eastAsia="仿宋_GB2312" w:cs="宋体"/>
          <w:color w:val="auto"/>
          <w:kern w:val="0"/>
          <w:sz w:val="32"/>
          <w:szCs w:val="32"/>
          <w:highlight w:val="none"/>
        </w:rPr>
        <w:t>万元。具体情况见下表（按项目分别填报）：</w:t>
      </w:r>
    </w:p>
    <w:p>
      <w:pPr>
        <w:spacing w:line="50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注意：按照新预算绩效系统中绩效目标填列。</w:t>
      </w:r>
    </w:p>
    <w:p>
      <w:pPr>
        <w:spacing w:line="50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1、指标设置：产出指标中数量、质量、时效、成本指标必填，效益指标中至少保留2类指标。三级指标数≥7条，量化率≥70%；</w:t>
      </w:r>
    </w:p>
    <w:p>
      <w:pPr>
        <w:spacing w:line="50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2、项目支出绩效目标表中三级指标为空的删除；</w:t>
      </w:r>
    </w:p>
    <w:p>
      <w:pPr>
        <w:spacing w:line="500" w:lineRule="exact"/>
        <w:ind w:firstLine="640" w:firstLineChars="200"/>
        <w:rPr>
          <w:rFonts w:ascii="仿宋_GB2312" w:hAnsi="宋体" w:eastAsia="仿宋_GB2312"/>
          <w:b/>
          <w:color w:val="auto"/>
          <w:kern w:val="0"/>
          <w:sz w:val="28"/>
          <w:szCs w:val="32"/>
          <w:highlight w:val="none"/>
        </w:rPr>
      </w:pPr>
      <w:r>
        <w:rPr>
          <w:rFonts w:hint="eastAsia" w:ascii="仿宋_GB2312" w:hAnsi="宋体" w:eastAsia="仿宋_GB2312" w:cs="宋体"/>
          <w:color w:val="auto"/>
          <w:kern w:val="0"/>
          <w:sz w:val="32"/>
          <w:szCs w:val="32"/>
          <w:highlight w:val="none"/>
        </w:rPr>
        <w:t>3、如项目支出绩效目标表为空表，空表需保留，</w:t>
      </w:r>
      <w:r>
        <w:rPr>
          <w:rFonts w:hint="eastAsia" w:eastAsia="仿宋_GB2312"/>
          <w:color w:val="auto"/>
          <w:kern w:val="0"/>
          <w:sz w:val="32"/>
          <w:szCs w:val="32"/>
          <w:highlight w:val="none"/>
        </w:rPr>
        <w:t>在空表中列明部门（单位）名称。空表需</w:t>
      </w:r>
      <w:r>
        <w:rPr>
          <w:rFonts w:hint="eastAsia" w:ascii="仿宋_GB2312" w:hAnsi="宋体" w:eastAsia="仿宋_GB2312" w:cs="宋体"/>
          <w:color w:val="auto"/>
          <w:kern w:val="0"/>
          <w:sz w:val="32"/>
          <w:szCs w:val="32"/>
          <w:highlight w:val="none"/>
        </w:rPr>
        <w:t>备注：</w:t>
      </w:r>
      <w:r>
        <w:rPr>
          <w:rFonts w:hint="eastAsia" w:ascii="仿宋_GB2312" w:hAnsi="宋体" w:eastAsia="仿宋_GB2312"/>
          <w:b/>
          <w:color w:val="auto"/>
          <w:kern w:val="0"/>
          <w:sz w:val="28"/>
          <w:szCs w:val="32"/>
          <w:highlight w:val="none"/>
        </w:rPr>
        <w:t>XX部门（单位）2021未安排财政拨款</w:t>
      </w:r>
      <w:r>
        <w:rPr>
          <w:rFonts w:ascii="仿宋_GB2312" w:hAnsi="宋体" w:eastAsia="仿宋_GB2312"/>
          <w:b/>
          <w:color w:val="auto"/>
          <w:kern w:val="0"/>
          <w:sz w:val="28"/>
          <w:szCs w:val="32"/>
          <w:highlight w:val="none"/>
        </w:rPr>
        <w:t>项目支出</w:t>
      </w:r>
      <w:r>
        <w:rPr>
          <w:rFonts w:hint="eastAsia" w:ascii="仿宋_GB2312" w:hAnsi="宋体" w:eastAsia="仿宋_GB2312"/>
          <w:b/>
          <w:color w:val="auto"/>
          <w:kern w:val="0"/>
          <w:sz w:val="28"/>
          <w:szCs w:val="32"/>
          <w:highlight w:val="none"/>
        </w:rPr>
        <w:t>预算</w:t>
      </w:r>
      <w:r>
        <w:rPr>
          <w:rFonts w:ascii="仿宋_GB2312" w:hAnsi="宋体" w:eastAsia="仿宋_GB2312"/>
          <w:b/>
          <w:color w:val="auto"/>
          <w:kern w:val="0"/>
          <w:sz w:val="28"/>
          <w:szCs w:val="32"/>
          <w:highlight w:val="none"/>
        </w:rPr>
        <w:t>，项目支出绩效目标表为空表</w:t>
      </w:r>
      <w:r>
        <w:rPr>
          <w:rFonts w:hint="eastAsia" w:ascii="仿宋_GB2312" w:hAnsi="宋体" w:eastAsia="仿宋_GB2312"/>
          <w:b/>
          <w:color w:val="auto"/>
          <w:kern w:val="0"/>
          <w:sz w:val="28"/>
          <w:szCs w:val="32"/>
          <w:highlight w:val="none"/>
        </w:rPr>
        <w:t>。</w:t>
      </w:r>
    </w:p>
    <w:p>
      <w:pPr>
        <w:spacing w:line="500" w:lineRule="exact"/>
        <w:ind w:firstLine="960" w:firstLineChars="3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4、注意排版要标准。</w:t>
      </w:r>
    </w:p>
    <w:p>
      <w:pPr>
        <w:spacing w:line="560" w:lineRule="exact"/>
        <w:rPr>
          <w:rFonts w:ascii="仿宋_GB2312" w:hAnsi="宋体" w:eastAsia="仿宋_GB2312" w:cs="宋体"/>
          <w:color w:val="auto"/>
          <w:kern w:val="0"/>
          <w:sz w:val="32"/>
          <w:szCs w:val="32"/>
          <w:highlight w:val="none"/>
        </w:rPr>
      </w:pPr>
    </w:p>
    <w:p>
      <w:pPr>
        <w:spacing w:line="560" w:lineRule="exact"/>
        <w:rPr>
          <w:rFonts w:ascii="仿宋_GB2312" w:hAnsi="宋体" w:eastAsia="仿宋_GB2312" w:cs="宋体"/>
          <w:color w:val="auto"/>
          <w:kern w:val="0"/>
          <w:sz w:val="32"/>
          <w:szCs w:val="32"/>
        </w:rPr>
      </w:pPr>
    </w:p>
    <w:p>
      <w:pPr>
        <w:spacing w:line="560" w:lineRule="exact"/>
        <w:rPr>
          <w:rFonts w:ascii="仿宋_GB2312" w:hAnsi="宋体" w:eastAsia="仿宋_GB2312" w:cs="宋体"/>
          <w:color w:val="auto"/>
          <w:kern w:val="0"/>
          <w:sz w:val="32"/>
          <w:szCs w:val="32"/>
        </w:rPr>
      </w:pPr>
    </w:p>
    <w:p>
      <w:pPr>
        <w:widowControl/>
        <w:spacing w:line="480" w:lineRule="exact"/>
        <w:jc w:val="both"/>
        <w:textAlignment w:val="bottom"/>
        <w:rPr>
          <w:rFonts w:hint="eastAsia" w:ascii="仿宋_GB2312" w:hAnsi="宋体" w:eastAsia="仿宋_GB2312" w:cs="仿宋_GB2312"/>
          <w:b/>
          <w:color w:val="auto"/>
          <w:kern w:val="0"/>
          <w:sz w:val="32"/>
          <w:szCs w:val="32"/>
        </w:rPr>
      </w:pPr>
    </w:p>
    <w:p>
      <w:pPr>
        <w:widowControl/>
        <w:spacing w:line="480" w:lineRule="exact"/>
        <w:jc w:val="both"/>
        <w:textAlignment w:val="bottom"/>
        <w:rPr>
          <w:rFonts w:hint="eastAsia" w:ascii="仿宋_GB2312" w:hAnsi="宋体" w:eastAsia="仿宋_GB2312" w:cs="仿宋_GB2312"/>
          <w:b/>
          <w:color w:val="auto"/>
          <w:kern w:val="0"/>
          <w:sz w:val="32"/>
          <w:szCs w:val="32"/>
        </w:rPr>
      </w:pPr>
    </w:p>
    <w:p>
      <w:pPr>
        <w:widowControl/>
        <w:spacing w:line="480" w:lineRule="exact"/>
        <w:jc w:val="both"/>
        <w:textAlignment w:val="bottom"/>
        <w:rPr>
          <w:rFonts w:hint="eastAsia" w:ascii="仿宋_GB2312" w:hAnsi="宋体" w:eastAsia="仿宋_GB2312" w:cs="仿宋_GB2312"/>
          <w:b/>
          <w:color w:val="auto"/>
          <w:kern w:val="0"/>
          <w:sz w:val="32"/>
          <w:szCs w:val="32"/>
        </w:rPr>
      </w:pPr>
    </w:p>
    <w:p>
      <w:pPr>
        <w:widowControl/>
        <w:spacing w:line="480" w:lineRule="exact"/>
        <w:jc w:val="both"/>
        <w:textAlignment w:val="bottom"/>
        <w:rPr>
          <w:rFonts w:hint="eastAsia" w:ascii="仿宋_GB2312" w:hAnsi="宋体" w:eastAsia="仿宋_GB2312" w:cs="仿宋_GB2312"/>
          <w:b/>
          <w:color w:val="auto"/>
          <w:kern w:val="0"/>
          <w:sz w:val="32"/>
          <w:szCs w:val="32"/>
        </w:rPr>
      </w:pPr>
    </w:p>
    <w:p>
      <w:pPr>
        <w:widowControl/>
        <w:spacing w:line="480" w:lineRule="exact"/>
        <w:jc w:val="both"/>
        <w:textAlignment w:val="bottom"/>
        <w:rPr>
          <w:rFonts w:hint="eastAsia" w:ascii="仿宋_GB2312" w:hAnsi="宋体" w:eastAsia="仿宋_GB2312" w:cs="仿宋_GB2312"/>
          <w:b/>
          <w:color w:val="auto"/>
          <w:kern w:val="0"/>
          <w:sz w:val="32"/>
          <w:szCs w:val="32"/>
        </w:rPr>
      </w:pPr>
      <w:r>
        <w:rPr>
          <w:rFonts w:hint="eastAsia" w:ascii="仿宋_GB2312" w:hAnsi="宋体" w:eastAsia="仿宋_GB2312" w:cs="仿宋_GB2312"/>
          <w:b/>
          <w:color w:val="auto"/>
          <w:kern w:val="0"/>
          <w:sz w:val="32"/>
          <w:szCs w:val="32"/>
        </w:rPr>
        <w:br w:type="page"/>
      </w:r>
    </w:p>
    <w:tbl>
      <w:tblPr>
        <w:tblStyle w:val="7"/>
        <w:tblW w:w="8815" w:type="dxa"/>
        <w:jc w:val="center"/>
        <w:tblLayout w:type="fixed"/>
        <w:tblCellMar>
          <w:top w:w="0" w:type="dxa"/>
          <w:left w:w="0" w:type="dxa"/>
          <w:bottom w:w="0" w:type="dxa"/>
          <w:right w:w="0" w:type="dxa"/>
        </w:tblCellMar>
      </w:tblPr>
      <w:tblGrid>
        <w:gridCol w:w="960"/>
        <w:gridCol w:w="1452"/>
        <w:gridCol w:w="1224"/>
        <w:gridCol w:w="1476"/>
        <w:gridCol w:w="1039"/>
        <w:gridCol w:w="1481"/>
        <w:gridCol w:w="1183"/>
      </w:tblGrid>
      <w:tr>
        <w:tblPrEx>
          <w:tblCellMar>
            <w:top w:w="0" w:type="dxa"/>
            <w:left w:w="0" w:type="dxa"/>
            <w:bottom w:w="0" w:type="dxa"/>
            <w:right w:w="0" w:type="dxa"/>
          </w:tblCellMar>
        </w:tblPrEx>
        <w:trPr>
          <w:trHeight w:val="480" w:hRule="atLeast"/>
          <w:jc w:val="center"/>
        </w:trPr>
        <w:tc>
          <w:tcPr>
            <w:tcW w:w="8815" w:type="dxa"/>
            <w:gridSpan w:val="7"/>
            <w:tcBorders>
              <w:top w:val="nil"/>
              <w:left w:val="nil"/>
              <w:bottom w:val="nil"/>
              <w:right w:val="nil"/>
            </w:tcBorders>
            <w:noWrap/>
            <w:tcMar>
              <w:top w:w="12" w:type="dxa"/>
              <w:left w:w="12" w:type="dxa"/>
              <w:right w:w="12" w:type="dxa"/>
            </w:tcMar>
            <w:vAlign w:val="bottom"/>
          </w:tcPr>
          <w:p>
            <w:pPr>
              <w:widowControl/>
              <w:spacing w:line="480" w:lineRule="exact"/>
              <w:jc w:val="center"/>
              <w:textAlignment w:val="bottom"/>
              <w:rPr>
                <w:rFonts w:ascii="仿宋_GB2312" w:hAnsi="宋体" w:eastAsia="仿宋_GB2312" w:cs="仿宋_GB2312"/>
                <w:b/>
                <w:color w:val="auto"/>
                <w:sz w:val="32"/>
                <w:szCs w:val="32"/>
              </w:rPr>
            </w:pPr>
            <w:r>
              <w:rPr>
                <w:rFonts w:hint="eastAsia" w:ascii="方正小标宋简体" w:hAnsi="方正小标宋简体" w:eastAsia="方正小标宋简体" w:cs="方正小标宋简体"/>
                <w:b w:val="0"/>
                <w:bCs/>
                <w:color w:val="auto"/>
                <w:kern w:val="0"/>
                <w:sz w:val="32"/>
                <w:szCs w:val="32"/>
              </w:rPr>
              <w:t>项  目  支  出  绩  效  目  标  表</w:t>
            </w:r>
          </w:p>
        </w:tc>
      </w:tr>
      <w:tr>
        <w:tblPrEx>
          <w:tblCellMar>
            <w:top w:w="0" w:type="dxa"/>
            <w:left w:w="0" w:type="dxa"/>
            <w:bottom w:w="0" w:type="dxa"/>
            <w:right w:w="0" w:type="dxa"/>
          </w:tblCellMar>
        </w:tblPrEx>
        <w:trPr>
          <w:trHeight w:val="380" w:hRule="atLeast"/>
          <w:jc w:val="center"/>
        </w:trPr>
        <w:tc>
          <w:tcPr>
            <w:tcW w:w="8815" w:type="dxa"/>
            <w:gridSpan w:val="7"/>
            <w:tcBorders>
              <w:top w:val="nil"/>
              <w:left w:val="nil"/>
              <w:bottom w:val="nil"/>
              <w:right w:val="nil"/>
            </w:tcBorders>
            <w:noWrap/>
            <w:tcMar>
              <w:top w:w="12" w:type="dxa"/>
              <w:left w:w="12" w:type="dxa"/>
              <w:right w:w="12" w:type="dxa"/>
            </w:tcMar>
            <w:vAlign w:val="bottom"/>
          </w:tcPr>
          <w:p>
            <w:pPr>
              <w:widowControl/>
              <w:spacing w:line="480" w:lineRule="exact"/>
              <w:jc w:val="center"/>
              <w:textAlignment w:val="bottom"/>
              <w:rPr>
                <w:rFonts w:ascii="宋体" w:hAnsi="宋体" w:cs="宋体"/>
                <w:color w:val="auto"/>
                <w:sz w:val="22"/>
                <w:szCs w:val="22"/>
              </w:rPr>
            </w:pPr>
            <w:r>
              <w:rPr>
                <w:rFonts w:hint="eastAsia" w:ascii="宋体" w:hAnsi="宋体" w:cs="宋体"/>
                <w:color w:val="auto"/>
                <w:kern w:val="0"/>
                <w:sz w:val="22"/>
                <w:szCs w:val="22"/>
              </w:rPr>
              <w:t>（2022年）</w:t>
            </w:r>
          </w:p>
        </w:tc>
      </w:tr>
      <w:tr>
        <w:tblPrEx>
          <w:tblCellMar>
            <w:top w:w="0" w:type="dxa"/>
            <w:left w:w="0" w:type="dxa"/>
            <w:bottom w:w="0" w:type="dxa"/>
            <w:right w:w="0" w:type="dxa"/>
          </w:tblCellMar>
        </w:tblPrEx>
        <w:trPr>
          <w:trHeight w:val="500"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80" w:lineRule="exact"/>
              <w:jc w:val="center"/>
              <w:textAlignment w:val="center"/>
              <w:rPr>
                <w:rFonts w:ascii="宋体" w:hAnsi="宋体" w:cs="宋体"/>
                <w:b/>
                <w:color w:val="auto"/>
                <w:sz w:val="18"/>
                <w:szCs w:val="18"/>
              </w:rPr>
            </w:pPr>
            <w:r>
              <w:rPr>
                <w:rFonts w:hint="eastAsia" w:ascii="宋体" w:hAnsi="宋体" w:cs="宋体"/>
                <w:b/>
                <w:color w:val="auto"/>
                <w:kern w:val="0"/>
                <w:sz w:val="18"/>
                <w:szCs w:val="18"/>
              </w:rPr>
              <w:t>预算单位</w:t>
            </w:r>
          </w:p>
        </w:tc>
        <w:tc>
          <w:tcPr>
            <w:tcW w:w="4152" w:type="dxa"/>
            <w:gridSpan w:val="3"/>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spacing w:line="480" w:lineRule="exact"/>
              <w:jc w:val="left"/>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highlight w:val="none"/>
                <w:lang w:eastAsia="zh-CN"/>
              </w:rPr>
              <w:t>中共若羌县纪律检查委员会</w:t>
            </w:r>
          </w:p>
        </w:tc>
        <w:tc>
          <w:tcPr>
            <w:tcW w:w="103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80" w:lineRule="exact"/>
              <w:jc w:val="center"/>
              <w:textAlignment w:val="center"/>
              <w:rPr>
                <w:rFonts w:ascii="宋体" w:hAnsi="宋体" w:cs="宋体"/>
                <w:b/>
                <w:color w:val="auto"/>
                <w:sz w:val="18"/>
                <w:szCs w:val="18"/>
              </w:rPr>
            </w:pPr>
            <w:r>
              <w:rPr>
                <w:rFonts w:hint="eastAsia" w:ascii="宋体" w:hAnsi="宋体" w:cs="宋体"/>
                <w:b/>
                <w:color w:val="auto"/>
                <w:kern w:val="0"/>
                <w:sz w:val="18"/>
                <w:szCs w:val="18"/>
              </w:rPr>
              <w:t>项目名称</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80" w:lineRule="exact"/>
              <w:jc w:val="center"/>
              <w:textAlignment w:val="center"/>
              <w:rPr>
                <w:rFonts w:ascii="宋体" w:hAnsi="宋体" w:cs="宋体"/>
                <w:color w:val="auto"/>
                <w:sz w:val="18"/>
                <w:szCs w:val="18"/>
              </w:rPr>
            </w:pPr>
            <w:r>
              <w:rPr>
                <w:rFonts w:hint="eastAsia" w:ascii="宋体" w:hAnsi="宋体" w:cs="宋体"/>
                <w:color w:val="auto"/>
                <w:sz w:val="18"/>
                <w:szCs w:val="18"/>
              </w:rPr>
              <w:t>机关办案经费</w:t>
            </w:r>
          </w:p>
        </w:tc>
      </w:tr>
      <w:tr>
        <w:tblPrEx>
          <w:tblCellMar>
            <w:top w:w="0" w:type="dxa"/>
            <w:left w:w="0" w:type="dxa"/>
            <w:bottom w:w="0" w:type="dxa"/>
            <w:right w:w="0" w:type="dxa"/>
          </w:tblCellMar>
        </w:tblPrEx>
        <w:trPr>
          <w:trHeight w:val="564"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b/>
                <w:color w:val="auto"/>
                <w:sz w:val="18"/>
                <w:szCs w:val="18"/>
              </w:rPr>
            </w:pPr>
            <w:r>
              <w:rPr>
                <w:rFonts w:hint="eastAsia" w:ascii="宋体" w:hAnsi="宋体" w:cs="宋体"/>
                <w:b/>
                <w:color w:val="auto"/>
                <w:kern w:val="0"/>
                <w:sz w:val="18"/>
                <w:szCs w:val="18"/>
              </w:rPr>
              <w:t>项目资金（万元）</w:t>
            </w:r>
          </w:p>
        </w:tc>
        <w:tc>
          <w:tcPr>
            <w:tcW w:w="14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80" w:lineRule="exact"/>
              <w:jc w:val="center"/>
              <w:textAlignment w:val="center"/>
              <w:rPr>
                <w:rFonts w:ascii="宋体" w:hAnsi="宋体" w:cs="宋体"/>
                <w:color w:val="auto"/>
                <w:sz w:val="18"/>
                <w:szCs w:val="18"/>
              </w:rPr>
            </w:pPr>
            <w:r>
              <w:rPr>
                <w:rFonts w:hint="eastAsia" w:ascii="宋体" w:hAnsi="宋体" w:cs="宋体"/>
                <w:color w:val="auto"/>
                <w:kern w:val="0"/>
                <w:sz w:val="18"/>
                <w:szCs w:val="18"/>
              </w:rPr>
              <w:t>年度资金总额：</w:t>
            </w:r>
          </w:p>
        </w:tc>
        <w:tc>
          <w:tcPr>
            <w:tcW w:w="12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480" w:lineRule="exact"/>
              <w:jc w:val="center"/>
              <w:rPr>
                <w:rFonts w:ascii="宋体" w:hAnsi="宋体" w:cs="宋体"/>
                <w:color w:val="auto"/>
                <w:sz w:val="18"/>
                <w:szCs w:val="18"/>
              </w:rPr>
            </w:pPr>
            <w:r>
              <w:rPr>
                <w:rFonts w:hint="eastAsia" w:ascii="宋体" w:hAnsi="宋体" w:cs="宋体"/>
                <w:color w:val="auto"/>
                <w:sz w:val="18"/>
                <w:szCs w:val="18"/>
                <w:highlight w:val="none"/>
                <w:lang w:eastAsia="zh-CN"/>
              </w:rPr>
              <w:t>2</w:t>
            </w:r>
            <w:r>
              <w:rPr>
                <w:rFonts w:hint="eastAsia" w:ascii="宋体" w:hAnsi="宋体" w:cs="宋体"/>
                <w:color w:val="auto"/>
                <w:sz w:val="18"/>
                <w:szCs w:val="18"/>
                <w:highlight w:val="none"/>
                <w:lang w:val="en-US" w:eastAsia="zh-CN"/>
              </w:rPr>
              <w:t>42.06</w:t>
            </w:r>
          </w:p>
        </w:tc>
        <w:tc>
          <w:tcPr>
            <w:tcW w:w="14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80" w:lineRule="exact"/>
              <w:jc w:val="center"/>
              <w:textAlignment w:val="center"/>
              <w:rPr>
                <w:rFonts w:ascii="宋体" w:hAnsi="宋体" w:cs="宋体"/>
                <w:color w:val="auto"/>
                <w:sz w:val="18"/>
                <w:szCs w:val="18"/>
              </w:rPr>
            </w:pPr>
            <w:r>
              <w:rPr>
                <w:rFonts w:hint="eastAsia" w:ascii="宋体" w:hAnsi="宋体" w:cs="宋体"/>
                <w:color w:val="auto"/>
                <w:kern w:val="0"/>
                <w:sz w:val="18"/>
                <w:szCs w:val="18"/>
              </w:rPr>
              <w:t>其中：财政拨款</w:t>
            </w:r>
          </w:p>
        </w:tc>
        <w:tc>
          <w:tcPr>
            <w:tcW w:w="103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480" w:lineRule="exact"/>
              <w:jc w:val="center"/>
              <w:rPr>
                <w:rFonts w:ascii="宋体" w:hAnsi="宋体" w:cs="宋体"/>
                <w:color w:val="auto"/>
                <w:sz w:val="18"/>
                <w:szCs w:val="18"/>
              </w:rPr>
            </w:pPr>
            <w:r>
              <w:rPr>
                <w:rFonts w:hint="eastAsia" w:ascii="宋体" w:hAnsi="宋体" w:cs="宋体"/>
                <w:color w:val="auto"/>
                <w:sz w:val="18"/>
                <w:szCs w:val="18"/>
                <w:highlight w:val="none"/>
                <w:lang w:eastAsia="zh-CN"/>
              </w:rPr>
              <w:t>2</w:t>
            </w:r>
            <w:r>
              <w:rPr>
                <w:rFonts w:hint="eastAsia" w:ascii="宋体" w:hAnsi="宋体" w:cs="宋体"/>
                <w:color w:val="auto"/>
                <w:sz w:val="18"/>
                <w:szCs w:val="18"/>
                <w:highlight w:val="none"/>
                <w:lang w:val="en-US" w:eastAsia="zh-CN"/>
              </w:rPr>
              <w:t>42.06</w:t>
            </w:r>
          </w:p>
        </w:tc>
        <w:tc>
          <w:tcPr>
            <w:tcW w:w="1481"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80" w:lineRule="exact"/>
              <w:jc w:val="center"/>
              <w:textAlignment w:val="center"/>
              <w:rPr>
                <w:rFonts w:ascii="宋体" w:hAnsi="宋体" w:cs="宋体"/>
                <w:color w:val="auto"/>
                <w:sz w:val="18"/>
                <w:szCs w:val="18"/>
              </w:rPr>
            </w:pPr>
            <w:r>
              <w:rPr>
                <w:rFonts w:hint="eastAsia" w:ascii="宋体" w:hAnsi="宋体" w:cs="宋体"/>
                <w:color w:val="auto"/>
                <w:kern w:val="0"/>
                <w:sz w:val="18"/>
                <w:szCs w:val="18"/>
              </w:rPr>
              <w:t>其他资金</w:t>
            </w:r>
          </w:p>
        </w:tc>
        <w:tc>
          <w:tcPr>
            <w:tcW w:w="1183"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spacing w:line="480" w:lineRule="exact"/>
              <w:rPr>
                <w:rFonts w:ascii="宋体" w:hAnsi="宋体" w:cs="宋体"/>
                <w:color w:val="auto"/>
                <w:sz w:val="18"/>
                <w:szCs w:val="18"/>
              </w:rPr>
            </w:pPr>
          </w:p>
        </w:tc>
      </w:tr>
      <w:tr>
        <w:tblPrEx>
          <w:tblCellMar>
            <w:top w:w="0" w:type="dxa"/>
            <w:left w:w="0" w:type="dxa"/>
            <w:bottom w:w="0" w:type="dxa"/>
            <w:right w:w="0" w:type="dxa"/>
          </w:tblCellMar>
        </w:tblPrEx>
        <w:trPr>
          <w:trHeight w:val="1100"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80" w:lineRule="exact"/>
              <w:jc w:val="center"/>
              <w:textAlignment w:val="center"/>
              <w:rPr>
                <w:rFonts w:ascii="宋体" w:hAnsi="宋体" w:cs="宋体"/>
                <w:b/>
                <w:color w:val="auto"/>
                <w:sz w:val="18"/>
                <w:szCs w:val="18"/>
              </w:rPr>
            </w:pPr>
            <w:r>
              <w:rPr>
                <w:rFonts w:hint="eastAsia" w:ascii="宋体" w:hAnsi="宋体" w:cs="宋体"/>
                <w:b/>
                <w:color w:val="auto"/>
                <w:kern w:val="0"/>
                <w:sz w:val="18"/>
                <w:szCs w:val="18"/>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color w:val="auto"/>
                <w:sz w:val="18"/>
                <w:szCs w:val="18"/>
              </w:rPr>
            </w:pPr>
            <w:r>
              <w:rPr>
                <w:rFonts w:hint="eastAsia" w:ascii="宋体" w:hAnsi="宋体" w:cs="宋体"/>
                <w:color w:val="auto"/>
                <w:sz w:val="18"/>
                <w:szCs w:val="18"/>
              </w:rPr>
              <w:t xml:space="preserve">全面贯彻十九届中央纪委五次全会精神，贯彻落实自治区纪委九届六次全会和第三次中央新疆工作座谈会精神，以推进社会治理体系和治理能力现代化为引领，维护党的章程和其他党内法规，维护党的纪律。监督检查各级党组织和党员执行党的路线、方针、政策、决议及遵守党纪党规的情况。具体是：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color w:val="auto"/>
                <w:sz w:val="18"/>
                <w:szCs w:val="18"/>
              </w:rPr>
            </w:pPr>
            <w:r>
              <w:rPr>
                <w:rFonts w:hint="eastAsia" w:ascii="宋体" w:hAnsi="宋体" w:cs="宋体"/>
                <w:color w:val="auto"/>
                <w:sz w:val="18"/>
                <w:szCs w:val="18"/>
              </w:rPr>
              <w:t>目标1：开展维护党的章程和党内法纪法规工作，推动各级党组织党风廉政建设责任制的落实；</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color w:val="auto"/>
                <w:sz w:val="18"/>
                <w:szCs w:val="18"/>
              </w:rPr>
            </w:pPr>
            <w:r>
              <w:rPr>
                <w:rFonts w:hint="eastAsia" w:ascii="宋体" w:hAnsi="宋体" w:cs="宋体"/>
                <w:color w:val="auto"/>
                <w:sz w:val="18"/>
                <w:szCs w:val="18"/>
              </w:rPr>
              <w:t xml:space="preserve">目标2：及时查办违反党纪的案件，对违反党纪的党组织和党员依纪依法开展初核、立案、调查和审理等工作，开展中央八项规定精神专项督查30次以上；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auto"/>
                <w:sz w:val="18"/>
                <w:szCs w:val="18"/>
              </w:rPr>
            </w:pPr>
            <w:r>
              <w:rPr>
                <w:rFonts w:hint="eastAsia" w:ascii="宋体" w:hAnsi="宋体" w:cs="宋体"/>
                <w:color w:val="auto"/>
                <w:sz w:val="18"/>
                <w:szCs w:val="18"/>
              </w:rPr>
              <w:t xml:space="preserve">目标3：深入开展预防职务违法和职务犯罪案件的警示宣传教育活动不少于20场次，及时查办职务违法和职务犯罪案件，案件办结率达90%以上；                                                                                                                          目标4：组织纪检监察干部开展党纪法规的学习和办案能力的业务培训。  </w:t>
            </w:r>
          </w:p>
        </w:tc>
      </w:tr>
      <w:tr>
        <w:tblPrEx>
          <w:tblCellMar>
            <w:top w:w="0" w:type="dxa"/>
            <w:left w:w="0" w:type="dxa"/>
            <w:bottom w:w="0" w:type="dxa"/>
            <w:right w:w="0" w:type="dxa"/>
          </w:tblCellMar>
        </w:tblPrEx>
        <w:trPr>
          <w:trHeight w:val="480"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80" w:lineRule="exact"/>
              <w:jc w:val="center"/>
              <w:textAlignment w:val="center"/>
              <w:rPr>
                <w:rFonts w:ascii="宋体" w:hAnsi="宋体" w:cs="宋体"/>
                <w:b/>
                <w:color w:val="auto"/>
                <w:sz w:val="18"/>
                <w:szCs w:val="18"/>
              </w:rPr>
            </w:pPr>
            <w:r>
              <w:rPr>
                <w:rFonts w:hint="eastAsia" w:ascii="宋体" w:hAnsi="宋体" w:cs="宋体"/>
                <w:b/>
                <w:color w:val="auto"/>
                <w:kern w:val="0"/>
                <w:sz w:val="18"/>
                <w:szCs w:val="18"/>
              </w:rPr>
              <w:t>一级指标</w:t>
            </w:r>
          </w:p>
        </w:tc>
        <w:tc>
          <w:tcPr>
            <w:tcW w:w="14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b/>
                <w:color w:val="auto"/>
                <w:sz w:val="18"/>
                <w:szCs w:val="18"/>
              </w:rPr>
            </w:pPr>
            <w:r>
              <w:rPr>
                <w:rFonts w:hint="eastAsia" w:ascii="宋体" w:hAnsi="宋体" w:cs="宋体"/>
                <w:b/>
                <w:color w:val="auto"/>
                <w:kern w:val="0"/>
                <w:sz w:val="18"/>
                <w:szCs w:val="18"/>
              </w:rPr>
              <w:t>二级指标</w:t>
            </w:r>
          </w:p>
        </w:tc>
        <w:tc>
          <w:tcPr>
            <w:tcW w:w="3739"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b/>
                <w:color w:val="auto"/>
                <w:sz w:val="18"/>
                <w:szCs w:val="18"/>
              </w:rPr>
            </w:pPr>
            <w:r>
              <w:rPr>
                <w:rFonts w:hint="eastAsia" w:ascii="宋体" w:hAnsi="宋体" w:cs="宋体"/>
                <w:b/>
                <w:color w:val="auto"/>
                <w:kern w:val="0"/>
                <w:sz w:val="18"/>
                <w:szCs w:val="18"/>
              </w:rPr>
              <w:t>三级指标</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80" w:lineRule="exact"/>
              <w:jc w:val="center"/>
              <w:textAlignment w:val="center"/>
              <w:rPr>
                <w:rFonts w:ascii="宋体" w:hAnsi="宋体" w:cs="宋体"/>
                <w:b/>
                <w:color w:val="auto"/>
                <w:sz w:val="18"/>
                <w:szCs w:val="18"/>
              </w:rPr>
            </w:pPr>
            <w:r>
              <w:rPr>
                <w:rFonts w:hint="eastAsia" w:ascii="宋体" w:hAnsi="宋体" w:cs="宋体"/>
                <w:b/>
                <w:color w:val="auto"/>
                <w:kern w:val="0"/>
                <w:sz w:val="18"/>
                <w:szCs w:val="18"/>
              </w:rPr>
              <w:t>指标值（包含数字及文字描述）</w:t>
            </w:r>
          </w:p>
        </w:tc>
      </w:tr>
      <w:tr>
        <w:tblPrEx>
          <w:tblCellMar>
            <w:top w:w="0" w:type="dxa"/>
            <w:left w:w="0" w:type="dxa"/>
            <w:bottom w:w="0" w:type="dxa"/>
            <w:right w:w="0" w:type="dxa"/>
          </w:tblCellMar>
        </w:tblPrEx>
        <w:trPr>
          <w:trHeight w:val="440" w:hRule="atLeast"/>
          <w:jc w:val="center"/>
        </w:trPr>
        <w:tc>
          <w:tcPr>
            <w:tcW w:w="960"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pPr>
              <w:widowControl/>
              <w:spacing w:line="480" w:lineRule="exact"/>
              <w:jc w:val="center"/>
              <w:textAlignment w:val="center"/>
              <w:rPr>
                <w:rFonts w:ascii="宋体" w:hAnsi="宋体" w:cs="宋体"/>
                <w:color w:val="auto"/>
                <w:sz w:val="18"/>
                <w:szCs w:val="18"/>
              </w:rPr>
            </w:pPr>
            <w:r>
              <w:rPr>
                <w:rFonts w:hint="eastAsia" w:ascii="宋体" w:hAnsi="宋体" w:cs="宋体"/>
                <w:color w:val="auto"/>
                <w:kern w:val="0"/>
                <w:sz w:val="18"/>
                <w:szCs w:val="18"/>
              </w:rPr>
              <w:t>产出指标</w:t>
            </w:r>
          </w:p>
        </w:tc>
        <w:tc>
          <w:tcPr>
            <w:tcW w:w="14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color w:val="auto"/>
                <w:sz w:val="18"/>
                <w:szCs w:val="18"/>
              </w:rPr>
            </w:pPr>
            <w:r>
              <w:rPr>
                <w:rFonts w:hint="eastAsia" w:ascii="宋体" w:hAnsi="宋体" w:cs="宋体"/>
                <w:color w:val="auto"/>
                <w:kern w:val="0"/>
                <w:sz w:val="18"/>
                <w:szCs w:val="18"/>
              </w:rPr>
              <w:t>数量指标</w:t>
            </w:r>
          </w:p>
        </w:tc>
        <w:tc>
          <w:tcPr>
            <w:tcW w:w="3739"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开展中央八项规定精神专项督导次数</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Style w:val="22"/>
                <w:lang w:val="en-US" w:eastAsia="zh-CN" w:bidi="ar"/>
              </w:rPr>
              <w:t>&gt;=30次</w:t>
            </w:r>
          </w:p>
        </w:tc>
      </w:tr>
      <w:tr>
        <w:tblPrEx>
          <w:tblCellMar>
            <w:top w:w="0" w:type="dxa"/>
            <w:left w:w="0" w:type="dxa"/>
            <w:bottom w:w="0" w:type="dxa"/>
            <w:right w:w="0" w:type="dxa"/>
          </w:tblCellMar>
        </w:tblPrEx>
        <w:trPr>
          <w:trHeight w:val="440" w:hRule="atLeast"/>
          <w:jc w:val="center"/>
        </w:trPr>
        <w:tc>
          <w:tcPr>
            <w:tcW w:w="960" w:type="dxa"/>
            <w:vMerge w:val="continue"/>
            <w:tcBorders>
              <w:left w:val="single" w:color="000000" w:sz="4" w:space="0"/>
              <w:right w:val="single" w:color="000000" w:sz="4" w:space="0"/>
            </w:tcBorders>
            <w:noWrap/>
            <w:tcMar>
              <w:top w:w="12" w:type="dxa"/>
              <w:left w:w="12" w:type="dxa"/>
              <w:right w:w="12" w:type="dxa"/>
            </w:tcMar>
            <w:vAlign w:val="center"/>
          </w:tcPr>
          <w:p>
            <w:pPr>
              <w:widowControl/>
              <w:spacing w:line="480" w:lineRule="exact"/>
              <w:jc w:val="center"/>
              <w:textAlignment w:val="center"/>
              <w:rPr>
                <w:rFonts w:hint="eastAsia" w:ascii="宋体" w:hAnsi="宋体" w:cs="宋体"/>
                <w:color w:val="auto"/>
                <w:kern w:val="0"/>
                <w:sz w:val="18"/>
                <w:szCs w:val="18"/>
              </w:rPr>
            </w:pPr>
          </w:p>
        </w:tc>
        <w:tc>
          <w:tcPr>
            <w:tcW w:w="14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宋体"/>
                <w:color w:val="auto"/>
                <w:kern w:val="0"/>
                <w:sz w:val="18"/>
                <w:szCs w:val="18"/>
              </w:rPr>
            </w:pPr>
            <w:r>
              <w:rPr>
                <w:rFonts w:hint="eastAsia" w:ascii="宋体" w:hAnsi="宋体" w:cs="宋体"/>
                <w:color w:val="auto"/>
                <w:kern w:val="0"/>
                <w:sz w:val="18"/>
                <w:szCs w:val="18"/>
              </w:rPr>
              <w:t>数量指标</w:t>
            </w:r>
          </w:p>
        </w:tc>
        <w:tc>
          <w:tcPr>
            <w:tcW w:w="3739"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开展宣传和预防职务违法犯罪警示教育活动场次</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Style w:val="22"/>
                <w:lang w:val="en-US" w:eastAsia="zh-CN" w:bidi="ar"/>
              </w:rPr>
              <w:t>&gt;=20场次</w:t>
            </w:r>
          </w:p>
        </w:tc>
      </w:tr>
      <w:tr>
        <w:tblPrEx>
          <w:tblCellMar>
            <w:top w:w="0" w:type="dxa"/>
            <w:left w:w="0" w:type="dxa"/>
            <w:bottom w:w="0" w:type="dxa"/>
            <w:right w:w="0" w:type="dxa"/>
          </w:tblCellMar>
        </w:tblPrEx>
        <w:trPr>
          <w:trHeight w:val="440" w:hRule="atLeast"/>
          <w:jc w:val="center"/>
        </w:trPr>
        <w:tc>
          <w:tcPr>
            <w:tcW w:w="960" w:type="dxa"/>
            <w:vMerge w:val="continue"/>
            <w:tcBorders>
              <w:left w:val="single" w:color="000000" w:sz="4" w:space="0"/>
              <w:right w:val="single" w:color="000000" w:sz="4" w:space="0"/>
            </w:tcBorders>
            <w:noWrap/>
            <w:tcMar>
              <w:top w:w="12" w:type="dxa"/>
              <w:left w:w="12" w:type="dxa"/>
              <w:right w:w="12" w:type="dxa"/>
            </w:tcMar>
            <w:vAlign w:val="center"/>
          </w:tcPr>
          <w:p>
            <w:pPr>
              <w:widowControl/>
              <w:spacing w:line="480" w:lineRule="exact"/>
              <w:jc w:val="center"/>
              <w:textAlignment w:val="center"/>
              <w:rPr>
                <w:rFonts w:hint="eastAsia" w:ascii="宋体" w:hAnsi="宋体" w:cs="宋体"/>
                <w:color w:val="auto"/>
                <w:kern w:val="0"/>
                <w:sz w:val="18"/>
                <w:szCs w:val="18"/>
              </w:rPr>
            </w:pPr>
          </w:p>
        </w:tc>
        <w:tc>
          <w:tcPr>
            <w:tcW w:w="14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宋体"/>
                <w:color w:val="auto"/>
                <w:kern w:val="0"/>
                <w:sz w:val="18"/>
                <w:szCs w:val="18"/>
              </w:rPr>
            </w:pPr>
            <w:r>
              <w:rPr>
                <w:rFonts w:hint="eastAsia" w:ascii="宋体" w:hAnsi="宋体" w:cs="宋体"/>
                <w:color w:val="auto"/>
                <w:kern w:val="0"/>
                <w:sz w:val="18"/>
                <w:szCs w:val="18"/>
              </w:rPr>
              <w:t>质量指标</w:t>
            </w:r>
          </w:p>
        </w:tc>
        <w:tc>
          <w:tcPr>
            <w:tcW w:w="3739"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专项督导线索处置率</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&gt;=80%</w:t>
            </w:r>
          </w:p>
        </w:tc>
      </w:tr>
      <w:tr>
        <w:tblPrEx>
          <w:tblCellMar>
            <w:top w:w="0" w:type="dxa"/>
            <w:left w:w="0" w:type="dxa"/>
            <w:bottom w:w="0" w:type="dxa"/>
            <w:right w:w="0" w:type="dxa"/>
          </w:tblCellMar>
        </w:tblPrEx>
        <w:trPr>
          <w:trHeight w:val="440" w:hRule="atLeast"/>
          <w:jc w:val="center"/>
        </w:trPr>
        <w:tc>
          <w:tcPr>
            <w:tcW w:w="960" w:type="dxa"/>
            <w:vMerge w:val="continue"/>
            <w:tcBorders>
              <w:left w:val="single" w:color="000000" w:sz="4" w:space="0"/>
              <w:right w:val="single" w:color="000000" w:sz="4" w:space="0"/>
            </w:tcBorders>
            <w:noWrap/>
            <w:tcMar>
              <w:top w:w="12" w:type="dxa"/>
              <w:left w:w="12" w:type="dxa"/>
              <w:right w:w="12" w:type="dxa"/>
            </w:tcMar>
            <w:vAlign w:val="center"/>
          </w:tcPr>
          <w:p>
            <w:pPr>
              <w:spacing w:line="480" w:lineRule="exact"/>
              <w:jc w:val="center"/>
              <w:rPr>
                <w:rFonts w:ascii="宋体" w:hAnsi="宋体" w:cs="宋体"/>
                <w:color w:val="auto"/>
                <w:sz w:val="18"/>
                <w:szCs w:val="18"/>
              </w:rPr>
            </w:pPr>
          </w:p>
        </w:tc>
        <w:tc>
          <w:tcPr>
            <w:tcW w:w="14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color w:val="auto"/>
                <w:sz w:val="18"/>
                <w:szCs w:val="18"/>
              </w:rPr>
            </w:pPr>
            <w:r>
              <w:rPr>
                <w:rFonts w:hint="eastAsia" w:ascii="宋体" w:hAnsi="宋体" w:cs="宋体"/>
                <w:color w:val="auto"/>
                <w:kern w:val="0"/>
                <w:sz w:val="18"/>
                <w:szCs w:val="18"/>
              </w:rPr>
              <w:t>质量指标</w:t>
            </w:r>
          </w:p>
        </w:tc>
        <w:tc>
          <w:tcPr>
            <w:tcW w:w="3739"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职务违法犯罪案件质量达标率</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Style w:val="22"/>
                <w:lang w:val="en-US" w:eastAsia="zh-CN" w:bidi="ar"/>
              </w:rPr>
              <w:t>&gt;=90%</w:t>
            </w:r>
          </w:p>
        </w:tc>
      </w:tr>
      <w:tr>
        <w:tblPrEx>
          <w:tblCellMar>
            <w:top w:w="0" w:type="dxa"/>
            <w:left w:w="0" w:type="dxa"/>
            <w:bottom w:w="0" w:type="dxa"/>
            <w:right w:w="0" w:type="dxa"/>
          </w:tblCellMar>
        </w:tblPrEx>
        <w:trPr>
          <w:trHeight w:val="440" w:hRule="atLeast"/>
          <w:jc w:val="center"/>
        </w:trPr>
        <w:tc>
          <w:tcPr>
            <w:tcW w:w="960" w:type="dxa"/>
            <w:vMerge w:val="continue"/>
            <w:tcBorders>
              <w:left w:val="single" w:color="000000" w:sz="4" w:space="0"/>
              <w:right w:val="single" w:color="000000" w:sz="4" w:space="0"/>
            </w:tcBorders>
            <w:noWrap/>
            <w:tcMar>
              <w:top w:w="12" w:type="dxa"/>
              <w:left w:w="12" w:type="dxa"/>
              <w:right w:w="12" w:type="dxa"/>
            </w:tcMar>
            <w:vAlign w:val="center"/>
          </w:tcPr>
          <w:p>
            <w:pPr>
              <w:spacing w:line="480" w:lineRule="exact"/>
              <w:jc w:val="center"/>
              <w:rPr>
                <w:rFonts w:ascii="宋体" w:hAnsi="宋体" w:cs="宋体"/>
                <w:color w:val="auto"/>
                <w:sz w:val="18"/>
                <w:szCs w:val="18"/>
              </w:rPr>
            </w:pPr>
          </w:p>
        </w:tc>
        <w:tc>
          <w:tcPr>
            <w:tcW w:w="14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color w:val="auto"/>
                <w:sz w:val="18"/>
                <w:szCs w:val="18"/>
              </w:rPr>
            </w:pPr>
            <w:r>
              <w:rPr>
                <w:rFonts w:hint="eastAsia" w:ascii="宋体" w:hAnsi="宋体" w:cs="宋体"/>
                <w:color w:val="auto"/>
                <w:kern w:val="0"/>
                <w:sz w:val="18"/>
                <w:szCs w:val="18"/>
              </w:rPr>
              <w:t>时效指标</w:t>
            </w:r>
          </w:p>
        </w:tc>
        <w:tc>
          <w:tcPr>
            <w:tcW w:w="3739"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专项督导办理时限达标率</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&gt;=90%</w:t>
            </w:r>
          </w:p>
        </w:tc>
      </w:tr>
      <w:tr>
        <w:tblPrEx>
          <w:tblCellMar>
            <w:top w:w="0" w:type="dxa"/>
            <w:left w:w="0" w:type="dxa"/>
            <w:bottom w:w="0" w:type="dxa"/>
            <w:right w:w="0" w:type="dxa"/>
          </w:tblCellMar>
        </w:tblPrEx>
        <w:trPr>
          <w:trHeight w:val="440" w:hRule="atLeast"/>
          <w:jc w:val="center"/>
        </w:trPr>
        <w:tc>
          <w:tcPr>
            <w:tcW w:w="960" w:type="dxa"/>
            <w:vMerge w:val="continue"/>
            <w:tcBorders>
              <w:left w:val="single" w:color="000000" w:sz="4" w:space="0"/>
              <w:right w:val="single" w:color="000000" w:sz="4" w:space="0"/>
            </w:tcBorders>
            <w:noWrap/>
            <w:tcMar>
              <w:top w:w="12" w:type="dxa"/>
              <w:left w:w="12" w:type="dxa"/>
              <w:right w:w="12" w:type="dxa"/>
            </w:tcMar>
            <w:vAlign w:val="center"/>
          </w:tcPr>
          <w:p>
            <w:pPr>
              <w:spacing w:line="480" w:lineRule="exact"/>
              <w:jc w:val="center"/>
              <w:rPr>
                <w:rFonts w:ascii="宋体" w:hAnsi="宋体" w:cs="宋体"/>
                <w:color w:val="auto"/>
                <w:sz w:val="18"/>
                <w:szCs w:val="18"/>
              </w:rPr>
            </w:pPr>
          </w:p>
        </w:tc>
        <w:tc>
          <w:tcPr>
            <w:tcW w:w="14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color w:val="auto"/>
                <w:sz w:val="18"/>
                <w:szCs w:val="18"/>
              </w:rPr>
            </w:pPr>
            <w:r>
              <w:rPr>
                <w:rFonts w:hint="eastAsia" w:ascii="宋体" w:hAnsi="宋体" w:cs="宋体"/>
                <w:color w:val="auto"/>
                <w:kern w:val="0"/>
                <w:sz w:val="18"/>
                <w:szCs w:val="18"/>
              </w:rPr>
              <w:t>时效指标</w:t>
            </w:r>
          </w:p>
        </w:tc>
        <w:tc>
          <w:tcPr>
            <w:tcW w:w="3739"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职务违法案件办理时限达标率</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&gt;=90%</w:t>
            </w:r>
          </w:p>
        </w:tc>
      </w:tr>
      <w:tr>
        <w:tblPrEx>
          <w:tblCellMar>
            <w:top w:w="0" w:type="dxa"/>
            <w:left w:w="0" w:type="dxa"/>
            <w:bottom w:w="0" w:type="dxa"/>
            <w:right w:w="0" w:type="dxa"/>
          </w:tblCellMar>
        </w:tblPrEx>
        <w:trPr>
          <w:trHeight w:val="440" w:hRule="atLeast"/>
          <w:jc w:val="center"/>
        </w:trPr>
        <w:tc>
          <w:tcPr>
            <w:tcW w:w="960" w:type="dxa"/>
            <w:vMerge w:val="continue"/>
            <w:tcBorders>
              <w:left w:val="single" w:color="000000" w:sz="4" w:space="0"/>
              <w:right w:val="single" w:color="000000" w:sz="4" w:space="0"/>
            </w:tcBorders>
            <w:noWrap/>
            <w:tcMar>
              <w:top w:w="12" w:type="dxa"/>
              <w:left w:w="12" w:type="dxa"/>
              <w:right w:w="12" w:type="dxa"/>
            </w:tcMar>
            <w:vAlign w:val="center"/>
          </w:tcPr>
          <w:p>
            <w:pPr>
              <w:spacing w:line="480" w:lineRule="exact"/>
              <w:jc w:val="center"/>
              <w:rPr>
                <w:rFonts w:ascii="宋体" w:hAnsi="宋体" w:cs="宋体"/>
                <w:color w:val="auto"/>
                <w:sz w:val="18"/>
                <w:szCs w:val="18"/>
              </w:rPr>
            </w:pPr>
          </w:p>
        </w:tc>
        <w:tc>
          <w:tcPr>
            <w:tcW w:w="14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宋体"/>
                <w:color w:val="auto"/>
                <w:kern w:val="0"/>
                <w:sz w:val="18"/>
                <w:szCs w:val="18"/>
              </w:rPr>
            </w:pPr>
            <w:r>
              <w:rPr>
                <w:rFonts w:hint="eastAsia" w:ascii="宋体" w:hAnsi="宋体" w:cs="宋体"/>
                <w:color w:val="auto"/>
                <w:kern w:val="0"/>
                <w:sz w:val="18"/>
                <w:szCs w:val="18"/>
              </w:rPr>
              <w:t>成本指标</w:t>
            </w:r>
          </w:p>
        </w:tc>
        <w:tc>
          <w:tcPr>
            <w:tcW w:w="3739"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专项整治工作督导经费</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Style w:val="22"/>
                <w:lang w:val="en-US" w:eastAsia="zh-CN" w:bidi="ar"/>
              </w:rPr>
              <w:t>＜=100万元</w:t>
            </w:r>
          </w:p>
        </w:tc>
      </w:tr>
      <w:tr>
        <w:tblPrEx>
          <w:tblCellMar>
            <w:top w:w="0" w:type="dxa"/>
            <w:left w:w="0" w:type="dxa"/>
            <w:bottom w:w="0" w:type="dxa"/>
            <w:right w:w="0" w:type="dxa"/>
          </w:tblCellMar>
        </w:tblPrEx>
        <w:trPr>
          <w:trHeight w:val="440" w:hRule="atLeast"/>
          <w:jc w:val="center"/>
        </w:trPr>
        <w:tc>
          <w:tcPr>
            <w:tcW w:w="960"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pPr>
              <w:spacing w:line="480" w:lineRule="exact"/>
              <w:jc w:val="center"/>
              <w:rPr>
                <w:rFonts w:ascii="宋体" w:hAnsi="宋体" w:cs="宋体"/>
                <w:color w:val="auto"/>
                <w:sz w:val="18"/>
                <w:szCs w:val="18"/>
              </w:rPr>
            </w:pPr>
          </w:p>
        </w:tc>
        <w:tc>
          <w:tcPr>
            <w:tcW w:w="14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宋体"/>
                <w:color w:val="auto"/>
                <w:kern w:val="0"/>
                <w:sz w:val="18"/>
                <w:szCs w:val="18"/>
              </w:rPr>
            </w:pPr>
            <w:r>
              <w:rPr>
                <w:rFonts w:hint="eastAsia" w:ascii="宋体" w:hAnsi="宋体" w:cs="宋体"/>
                <w:color w:val="auto"/>
                <w:kern w:val="0"/>
                <w:sz w:val="18"/>
                <w:szCs w:val="18"/>
              </w:rPr>
              <w:t>成本指标</w:t>
            </w:r>
          </w:p>
        </w:tc>
        <w:tc>
          <w:tcPr>
            <w:tcW w:w="3739"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职务违法犯罪等案件查办经费</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Style w:val="22"/>
                <w:lang w:val="en-US" w:eastAsia="zh-CN" w:bidi="ar"/>
              </w:rPr>
              <w:t>＜=242.06万元</w:t>
            </w:r>
          </w:p>
        </w:tc>
      </w:tr>
      <w:tr>
        <w:tblPrEx>
          <w:tblCellMar>
            <w:top w:w="0" w:type="dxa"/>
            <w:left w:w="0" w:type="dxa"/>
            <w:bottom w:w="0" w:type="dxa"/>
            <w:right w:w="0" w:type="dxa"/>
          </w:tblCellMar>
        </w:tblPrEx>
        <w:trPr>
          <w:trHeight w:val="440"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80" w:lineRule="exact"/>
              <w:jc w:val="center"/>
              <w:textAlignment w:val="center"/>
              <w:rPr>
                <w:rFonts w:ascii="宋体" w:hAnsi="宋体" w:cs="宋体"/>
                <w:color w:val="auto"/>
                <w:sz w:val="18"/>
                <w:szCs w:val="18"/>
              </w:rPr>
            </w:pPr>
            <w:r>
              <w:rPr>
                <w:rFonts w:hint="eastAsia" w:ascii="宋体" w:hAnsi="宋体" w:cs="宋体"/>
                <w:color w:val="auto"/>
                <w:kern w:val="0"/>
                <w:sz w:val="18"/>
                <w:szCs w:val="18"/>
              </w:rPr>
              <w:t>效益指标</w:t>
            </w:r>
          </w:p>
        </w:tc>
        <w:tc>
          <w:tcPr>
            <w:tcW w:w="14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color w:val="auto"/>
                <w:sz w:val="18"/>
                <w:szCs w:val="18"/>
              </w:rPr>
            </w:pPr>
            <w:r>
              <w:rPr>
                <w:rFonts w:hint="eastAsia" w:ascii="宋体" w:hAnsi="宋体" w:cs="宋体"/>
                <w:color w:val="auto"/>
                <w:kern w:val="0"/>
                <w:sz w:val="18"/>
                <w:szCs w:val="18"/>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追回违纪款，减少经济损失</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及时减少经济损失</w:t>
            </w:r>
          </w:p>
        </w:tc>
      </w:tr>
      <w:tr>
        <w:tblPrEx>
          <w:tblCellMar>
            <w:top w:w="0" w:type="dxa"/>
            <w:left w:w="0" w:type="dxa"/>
            <w:bottom w:w="0" w:type="dxa"/>
            <w:right w:w="0" w:type="dxa"/>
          </w:tblCellMar>
        </w:tblPrEx>
        <w:trPr>
          <w:trHeight w:val="44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480" w:lineRule="exact"/>
              <w:jc w:val="center"/>
              <w:rPr>
                <w:rFonts w:ascii="宋体" w:hAnsi="宋体" w:cs="宋体"/>
                <w:color w:val="auto"/>
                <w:sz w:val="18"/>
                <w:szCs w:val="18"/>
              </w:rPr>
            </w:pPr>
          </w:p>
        </w:tc>
        <w:tc>
          <w:tcPr>
            <w:tcW w:w="14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color w:val="auto"/>
                <w:sz w:val="18"/>
                <w:szCs w:val="18"/>
              </w:rPr>
            </w:pPr>
            <w:r>
              <w:rPr>
                <w:rFonts w:hint="eastAsia" w:ascii="宋体" w:hAnsi="宋体" w:cs="宋体"/>
                <w:color w:val="auto"/>
                <w:kern w:val="0"/>
                <w:sz w:val="18"/>
                <w:szCs w:val="18"/>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反腐倡廉工作推进社会风清气正</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稳步提升</w:t>
            </w:r>
          </w:p>
        </w:tc>
      </w:tr>
      <w:tr>
        <w:tblPrEx>
          <w:tblCellMar>
            <w:top w:w="0" w:type="dxa"/>
            <w:left w:w="0" w:type="dxa"/>
            <w:bottom w:w="0" w:type="dxa"/>
            <w:right w:w="0" w:type="dxa"/>
          </w:tblCellMar>
        </w:tblPrEx>
        <w:trPr>
          <w:trHeight w:val="44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480" w:lineRule="exact"/>
              <w:jc w:val="center"/>
              <w:rPr>
                <w:rFonts w:ascii="宋体" w:hAnsi="宋体" w:cs="宋体"/>
                <w:color w:val="auto"/>
                <w:sz w:val="18"/>
                <w:szCs w:val="18"/>
              </w:rPr>
            </w:pPr>
          </w:p>
        </w:tc>
        <w:tc>
          <w:tcPr>
            <w:tcW w:w="14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color w:val="auto"/>
                <w:sz w:val="18"/>
                <w:szCs w:val="18"/>
              </w:rPr>
            </w:pPr>
            <w:r>
              <w:rPr>
                <w:rFonts w:hint="eastAsia" w:ascii="宋体" w:hAnsi="宋体" w:cs="宋体"/>
                <w:color w:val="auto"/>
                <w:kern w:val="0"/>
                <w:sz w:val="18"/>
                <w:szCs w:val="18"/>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促进生态效益持续好转</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效果明显</w:t>
            </w:r>
          </w:p>
        </w:tc>
      </w:tr>
      <w:tr>
        <w:tblPrEx>
          <w:tblCellMar>
            <w:top w:w="0" w:type="dxa"/>
            <w:left w:w="0" w:type="dxa"/>
            <w:bottom w:w="0" w:type="dxa"/>
            <w:right w:w="0" w:type="dxa"/>
          </w:tblCellMar>
        </w:tblPrEx>
        <w:trPr>
          <w:trHeight w:val="44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480" w:lineRule="exact"/>
              <w:jc w:val="center"/>
              <w:rPr>
                <w:rFonts w:ascii="宋体" w:hAnsi="宋体" w:cs="宋体"/>
                <w:color w:val="auto"/>
                <w:sz w:val="18"/>
                <w:szCs w:val="18"/>
              </w:rPr>
            </w:pPr>
          </w:p>
        </w:tc>
        <w:tc>
          <w:tcPr>
            <w:tcW w:w="14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color w:val="auto"/>
                <w:sz w:val="18"/>
                <w:szCs w:val="18"/>
              </w:rPr>
            </w:pPr>
            <w:r>
              <w:rPr>
                <w:rFonts w:hint="eastAsia" w:ascii="宋体" w:hAnsi="宋体" w:cs="宋体"/>
                <w:color w:val="auto"/>
                <w:kern w:val="0"/>
                <w:sz w:val="18"/>
                <w:szCs w:val="18"/>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推进政治生态建设</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效果明显</w:t>
            </w:r>
          </w:p>
        </w:tc>
      </w:tr>
      <w:tr>
        <w:tblPrEx>
          <w:tblCellMar>
            <w:top w:w="0" w:type="dxa"/>
            <w:left w:w="0" w:type="dxa"/>
            <w:bottom w:w="0" w:type="dxa"/>
            <w:right w:w="0" w:type="dxa"/>
          </w:tblCellMar>
        </w:tblPrEx>
        <w:trPr>
          <w:trHeight w:val="440"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80" w:lineRule="exact"/>
              <w:jc w:val="center"/>
              <w:textAlignment w:val="center"/>
              <w:rPr>
                <w:rFonts w:ascii="宋体" w:hAnsi="宋体" w:cs="宋体"/>
                <w:color w:val="auto"/>
                <w:sz w:val="18"/>
                <w:szCs w:val="18"/>
              </w:rPr>
            </w:pPr>
            <w:r>
              <w:rPr>
                <w:rFonts w:hint="eastAsia" w:ascii="宋体" w:hAnsi="宋体" w:cs="宋体"/>
                <w:color w:val="auto"/>
                <w:kern w:val="0"/>
                <w:sz w:val="18"/>
                <w:szCs w:val="18"/>
              </w:rPr>
              <w:t>满意度指标</w:t>
            </w:r>
          </w:p>
        </w:tc>
        <w:tc>
          <w:tcPr>
            <w:tcW w:w="14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color w:val="auto"/>
                <w:sz w:val="18"/>
                <w:szCs w:val="18"/>
              </w:rPr>
            </w:pPr>
            <w:r>
              <w:rPr>
                <w:rFonts w:hint="eastAsia" w:ascii="宋体" w:hAnsi="宋体" w:cs="宋体"/>
                <w:color w:val="auto"/>
                <w:kern w:val="0"/>
                <w:sz w:val="18"/>
                <w:szCs w:val="18"/>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社会群众对纪检工作满意度 </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&gt;=90%</w:t>
            </w:r>
          </w:p>
        </w:tc>
      </w:tr>
    </w:tbl>
    <w:p>
      <w:pPr>
        <w:spacing w:line="500" w:lineRule="exact"/>
        <w:rPr>
          <w:rFonts w:ascii="仿宋_GB2312" w:hAnsi="宋体" w:eastAsia="仿宋_GB2312"/>
          <w:b/>
          <w:color w:val="auto"/>
          <w:kern w:val="0"/>
          <w:sz w:val="28"/>
          <w:szCs w:val="32"/>
          <w:highlight w:val="yellow"/>
        </w:rPr>
      </w:pPr>
      <w:r>
        <w:rPr>
          <w:rFonts w:hint="eastAsia" w:ascii="仿宋_GB2312" w:hAnsi="宋体" w:eastAsia="仿宋_GB2312"/>
          <w:b/>
          <w:color w:val="auto"/>
          <w:kern w:val="0"/>
          <w:sz w:val="28"/>
          <w:szCs w:val="32"/>
          <w:highlight w:val="yellow"/>
        </w:rPr>
        <w:t>空表需备注：</w:t>
      </w:r>
      <w:r>
        <w:rPr>
          <w:rFonts w:hint="eastAsia" w:ascii="仿宋_GB2312" w:hAnsi="宋体" w:eastAsia="仿宋_GB2312"/>
          <w:b/>
          <w:color w:val="auto"/>
          <w:kern w:val="0"/>
          <w:sz w:val="28"/>
          <w:szCs w:val="32"/>
          <w:highlight w:val="yellow"/>
          <w:lang w:eastAsia="zh-CN"/>
        </w:rPr>
        <w:t>中共若羌县纪律检查委员会</w:t>
      </w:r>
      <w:r>
        <w:rPr>
          <w:rFonts w:hint="eastAsia" w:ascii="仿宋_GB2312" w:hAnsi="宋体" w:eastAsia="仿宋_GB2312"/>
          <w:b/>
          <w:color w:val="auto"/>
          <w:kern w:val="0"/>
          <w:sz w:val="28"/>
          <w:szCs w:val="32"/>
          <w:highlight w:val="yellow"/>
          <w:lang w:val="en-US" w:eastAsia="zh-CN"/>
        </w:rPr>
        <w:t>部门</w:t>
      </w:r>
      <w:r>
        <w:rPr>
          <w:rFonts w:hint="eastAsia" w:ascii="仿宋_GB2312" w:hAnsi="宋体" w:eastAsia="仿宋_GB2312"/>
          <w:b/>
          <w:color w:val="auto"/>
          <w:kern w:val="0"/>
          <w:sz w:val="28"/>
          <w:szCs w:val="32"/>
          <w:highlight w:val="yellow"/>
        </w:rPr>
        <w:t>202</w:t>
      </w:r>
      <w:r>
        <w:rPr>
          <w:rFonts w:hint="eastAsia" w:ascii="仿宋_GB2312" w:hAnsi="宋体" w:eastAsia="仿宋_GB2312"/>
          <w:b/>
          <w:color w:val="auto"/>
          <w:kern w:val="0"/>
          <w:sz w:val="28"/>
          <w:szCs w:val="32"/>
          <w:highlight w:val="yellow"/>
          <w:lang w:val="en-US" w:eastAsia="zh-CN"/>
        </w:rPr>
        <w:t>2</w:t>
      </w:r>
      <w:r>
        <w:rPr>
          <w:rFonts w:hint="eastAsia" w:ascii="仿宋_GB2312" w:hAnsi="宋体" w:eastAsia="仿宋_GB2312"/>
          <w:b/>
          <w:color w:val="auto"/>
          <w:kern w:val="0"/>
          <w:sz w:val="28"/>
          <w:szCs w:val="32"/>
          <w:highlight w:val="yellow"/>
          <w:lang w:eastAsia="zh-CN"/>
        </w:rPr>
        <w:t>年未</w:t>
      </w:r>
      <w:r>
        <w:rPr>
          <w:rFonts w:hint="eastAsia" w:ascii="仿宋_GB2312" w:hAnsi="宋体" w:eastAsia="仿宋_GB2312"/>
          <w:b/>
          <w:color w:val="auto"/>
          <w:kern w:val="0"/>
          <w:sz w:val="28"/>
          <w:szCs w:val="32"/>
          <w:highlight w:val="yellow"/>
        </w:rPr>
        <w:t>安排</w:t>
      </w:r>
      <w:r>
        <w:rPr>
          <w:rFonts w:hint="eastAsia" w:ascii="仿宋_GB2312" w:hAnsi="宋体" w:eastAsia="仿宋_GB2312"/>
          <w:b/>
          <w:color w:val="auto"/>
          <w:kern w:val="0"/>
          <w:sz w:val="28"/>
          <w:szCs w:val="32"/>
          <w:highlight w:val="red"/>
        </w:rPr>
        <w:t>财政拨款</w:t>
      </w:r>
      <w:r>
        <w:rPr>
          <w:rFonts w:ascii="仿宋_GB2312" w:hAnsi="宋体" w:eastAsia="仿宋_GB2312"/>
          <w:b/>
          <w:color w:val="auto"/>
          <w:kern w:val="0"/>
          <w:sz w:val="28"/>
          <w:szCs w:val="32"/>
          <w:highlight w:val="yellow"/>
        </w:rPr>
        <w:t>项目支出</w:t>
      </w:r>
      <w:r>
        <w:rPr>
          <w:rFonts w:hint="eastAsia" w:ascii="仿宋_GB2312" w:hAnsi="宋体" w:eastAsia="仿宋_GB2312"/>
          <w:b/>
          <w:color w:val="auto"/>
          <w:kern w:val="0"/>
          <w:sz w:val="28"/>
          <w:szCs w:val="32"/>
          <w:highlight w:val="yellow"/>
        </w:rPr>
        <w:t>预算</w:t>
      </w:r>
      <w:r>
        <w:rPr>
          <w:rFonts w:ascii="仿宋_GB2312" w:hAnsi="宋体" w:eastAsia="仿宋_GB2312"/>
          <w:b/>
          <w:color w:val="auto"/>
          <w:kern w:val="0"/>
          <w:sz w:val="28"/>
          <w:szCs w:val="32"/>
          <w:highlight w:val="yellow"/>
        </w:rPr>
        <w:t>，项目支出绩效目标表为空表</w:t>
      </w:r>
      <w:r>
        <w:rPr>
          <w:rFonts w:hint="eastAsia" w:ascii="仿宋_GB2312" w:hAnsi="宋体" w:eastAsia="仿宋_GB2312"/>
          <w:b/>
          <w:color w:val="auto"/>
          <w:kern w:val="0"/>
          <w:sz w:val="28"/>
          <w:szCs w:val="32"/>
          <w:highlight w:val="yellow"/>
        </w:rPr>
        <w:t>。</w:t>
      </w:r>
    </w:p>
    <w:p>
      <w:pPr>
        <w:widowControl/>
        <w:spacing w:line="480" w:lineRule="exact"/>
        <w:rPr>
          <w:rFonts w:ascii="仿宋_GB2312" w:hAnsi="宋体" w:eastAsia="仿宋_GB2312" w:cs="宋体"/>
          <w:color w:val="auto"/>
          <w:kern w:val="0"/>
          <w:sz w:val="32"/>
          <w:szCs w:val="32"/>
        </w:rPr>
        <w:sectPr>
          <w:pgSz w:w="11906" w:h="16838"/>
          <w:pgMar w:top="1440" w:right="1800" w:bottom="1440" w:left="1800" w:header="851" w:footer="992" w:gutter="0"/>
          <w:pgNumType w:fmt="numberInDash" w:start="24"/>
          <w:cols w:space="720" w:num="1"/>
          <w:docGrid w:type="lines" w:linePitch="312" w:charSpace="0"/>
        </w:sectPr>
      </w:pPr>
    </w:p>
    <w:p>
      <w:pPr>
        <w:widowControl/>
        <w:spacing w:line="480" w:lineRule="exact"/>
        <w:ind w:firstLine="630" w:firstLineChars="196"/>
        <w:jc w:val="left"/>
        <w:rPr>
          <w:rFonts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rPr>
        <w:t>（五）其他需说明的事项</w:t>
      </w:r>
    </w:p>
    <w:p>
      <w:pPr>
        <w:widowControl/>
        <w:spacing w:line="520" w:lineRule="exact"/>
        <w:ind w:firstLine="640" w:firstLineChars="200"/>
        <w:jc w:val="left"/>
        <w:rPr>
          <w:rFonts w:ascii="仿宋_GB2312" w:hAnsi="宋体" w:eastAsia="仿宋_GB2312" w:cs="宋体"/>
          <w:color w:val="auto"/>
          <w:kern w:val="0"/>
          <w:sz w:val="32"/>
          <w:szCs w:val="32"/>
          <w:highlight w:val="yellow"/>
        </w:rPr>
      </w:pPr>
      <w:r>
        <w:rPr>
          <w:rFonts w:hint="eastAsia" w:ascii="仿宋_GB2312" w:hAnsi="宋体" w:eastAsia="仿宋_GB2312" w:cs="宋体"/>
          <w:color w:val="auto"/>
          <w:kern w:val="0"/>
          <w:sz w:val="32"/>
          <w:szCs w:val="32"/>
          <w:highlight w:val="yellow"/>
        </w:rPr>
        <w:t>“本</w:t>
      </w:r>
      <w:r>
        <w:rPr>
          <w:rFonts w:hint="eastAsia" w:ascii="仿宋_GB2312" w:hAnsi="宋体" w:eastAsia="仿宋_GB2312" w:cs="宋体"/>
          <w:color w:val="auto"/>
          <w:kern w:val="0"/>
          <w:sz w:val="32"/>
          <w:szCs w:val="32"/>
          <w:highlight w:val="red"/>
        </w:rPr>
        <w:t>部门（单位）</w:t>
      </w:r>
      <w:r>
        <w:rPr>
          <w:rFonts w:hint="eastAsia" w:ascii="仿宋_GB2312" w:hAnsi="宋体" w:eastAsia="仿宋_GB2312" w:cs="宋体"/>
          <w:color w:val="auto"/>
          <w:kern w:val="0"/>
          <w:sz w:val="32"/>
          <w:szCs w:val="32"/>
          <w:highlight w:val="yellow"/>
        </w:rPr>
        <w:t>无其他需说明的事项”。</w:t>
      </w:r>
    </w:p>
    <w:permEnd w:id="41"/>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beforeLines="50" w:line="520" w:lineRule="exact"/>
        <w:jc w:val="center"/>
        <w:outlineLvl w:val="1"/>
        <w:rPr>
          <w:rFonts w:hint="eastAsia" w:ascii="黑体" w:hAnsi="黑体" w:eastAsia="黑体"/>
          <w:color w:val="auto"/>
          <w:kern w:val="0"/>
          <w:sz w:val="32"/>
          <w:szCs w:val="32"/>
        </w:rPr>
      </w:pPr>
    </w:p>
    <w:p>
      <w:pPr>
        <w:widowControl/>
        <w:spacing w:beforeLines="50" w:line="520" w:lineRule="exact"/>
        <w:jc w:val="center"/>
        <w:outlineLvl w:val="1"/>
        <w:rPr>
          <w:rFonts w:hint="eastAsia" w:ascii="黑体" w:hAnsi="黑体" w:eastAsia="黑体"/>
          <w:color w:val="auto"/>
          <w:kern w:val="0"/>
          <w:sz w:val="32"/>
          <w:szCs w:val="32"/>
        </w:rPr>
      </w:pPr>
    </w:p>
    <w:p>
      <w:pPr>
        <w:widowControl/>
        <w:spacing w:beforeLines="50" w:line="520" w:lineRule="exact"/>
        <w:jc w:val="center"/>
        <w:outlineLvl w:val="1"/>
        <w:rPr>
          <w:rFonts w:ascii="黑体" w:hAnsi="黑体" w:eastAsia="黑体"/>
          <w:color w:val="auto"/>
          <w:kern w:val="0"/>
          <w:sz w:val="32"/>
          <w:szCs w:val="32"/>
        </w:rPr>
      </w:pPr>
      <w:r>
        <w:rPr>
          <w:rFonts w:hint="eastAsia" w:ascii="黑体" w:hAnsi="黑体" w:eastAsia="黑体"/>
          <w:color w:val="auto"/>
          <w:kern w:val="0"/>
          <w:sz w:val="32"/>
          <w:szCs w:val="32"/>
        </w:rPr>
        <w:br w:type="page"/>
      </w:r>
      <w:r>
        <w:rPr>
          <w:rFonts w:hint="eastAsia" w:ascii="黑体" w:hAnsi="黑体" w:eastAsia="黑体"/>
          <w:color w:val="auto"/>
          <w:kern w:val="0"/>
          <w:sz w:val="32"/>
          <w:szCs w:val="32"/>
        </w:rPr>
        <w:t>第四部分  名词解释</w:t>
      </w:r>
    </w:p>
    <w:p>
      <w:pPr>
        <w:widowControl/>
        <w:spacing w:beforeLines="50" w:line="520" w:lineRule="exact"/>
        <w:jc w:val="center"/>
        <w:outlineLvl w:val="1"/>
        <w:rPr>
          <w:rFonts w:ascii="黑体" w:hAnsi="黑体" w:eastAsia="黑体"/>
          <w:color w:val="auto"/>
          <w:kern w:val="0"/>
          <w:sz w:val="32"/>
          <w:szCs w:val="32"/>
        </w:rPr>
      </w:pPr>
    </w:p>
    <w:p>
      <w:pPr>
        <w:widowControl/>
        <w:spacing w:line="520" w:lineRule="exact"/>
        <w:ind w:firstLine="640"/>
        <w:jc w:val="left"/>
        <w:rPr>
          <w:rFonts w:ascii="黑体" w:hAnsi="宋体" w:eastAsia="黑体" w:cs="宋体"/>
          <w:color w:val="auto"/>
          <w:kern w:val="0"/>
          <w:sz w:val="32"/>
          <w:szCs w:val="32"/>
        </w:rPr>
      </w:pPr>
      <w:r>
        <w:rPr>
          <w:rFonts w:hint="eastAsia" w:ascii="黑体" w:hAnsi="宋体" w:eastAsia="黑体" w:cs="宋体"/>
          <w:color w:val="auto"/>
          <w:kern w:val="0"/>
          <w:sz w:val="32"/>
          <w:szCs w:val="32"/>
        </w:rPr>
        <w:t>名词解释：</w:t>
      </w:r>
    </w:p>
    <w:p>
      <w:pPr>
        <w:spacing w:line="520" w:lineRule="exact"/>
        <w:ind w:firstLine="642"/>
        <w:rPr>
          <w:rFonts w:ascii="仿宋_GB2312" w:eastAsia="仿宋_GB2312"/>
          <w:color w:val="auto"/>
          <w:sz w:val="32"/>
          <w:szCs w:val="32"/>
        </w:rPr>
      </w:pPr>
      <w:r>
        <w:rPr>
          <w:rFonts w:hint="eastAsia" w:ascii="黑体" w:hAnsi="黑体" w:eastAsia="黑体"/>
          <w:color w:val="auto"/>
          <w:sz w:val="32"/>
          <w:szCs w:val="32"/>
        </w:rPr>
        <w:t>一、财政拨款：</w:t>
      </w:r>
      <w:r>
        <w:rPr>
          <w:rFonts w:hint="eastAsia" w:ascii="仿宋_GB2312" w:eastAsia="仿宋_GB2312"/>
          <w:color w:val="auto"/>
          <w:sz w:val="32"/>
          <w:szCs w:val="32"/>
        </w:rPr>
        <w:t>指由一般公共预算、政府性基金预算、</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rPr>
        <w:t>安排的财政拨款数。</w:t>
      </w:r>
    </w:p>
    <w:p>
      <w:pPr>
        <w:spacing w:line="520" w:lineRule="exact"/>
        <w:ind w:firstLine="642"/>
        <w:rPr>
          <w:rFonts w:ascii="仿宋_GB2312" w:eastAsia="仿宋_GB2312"/>
          <w:color w:val="auto"/>
          <w:sz w:val="32"/>
          <w:szCs w:val="32"/>
        </w:rPr>
      </w:pPr>
      <w:r>
        <w:rPr>
          <w:rFonts w:hint="eastAsia" w:ascii="黑体" w:hAnsi="黑体" w:eastAsia="黑体"/>
          <w:color w:val="auto"/>
          <w:sz w:val="32"/>
          <w:szCs w:val="32"/>
        </w:rPr>
        <w:t>二、一般公共预算：</w:t>
      </w:r>
      <w:r>
        <w:rPr>
          <w:rFonts w:hint="eastAsia" w:ascii="仿宋_GB2312" w:eastAsia="仿宋_GB2312"/>
          <w:color w:val="auto"/>
          <w:spacing w:val="-6"/>
          <w:sz w:val="32"/>
          <w:szCs w:val="32"/>
        </w:rPr>
        <w:t>包括公共财政拨款（补助）资金、专项收入。</w:t>
      </w:r>
    </w:p>
    <w:p>
      <w:pPr>
        <w:spacing w:line="520" w:lineRule="exact"/>
        <w:ind w:firstLine="642"/>
        <w:rPr>
          <w:rFonts w:hint="eastAsia" w:ascii="仿宋_GB2312" w:eastAsia="仿宋_GB2312"/>
          <w:color w:val="auto"/>
          <w:sz w:val="32"/>
          <w:szCs w:val="32"/>
        </w:rPr>
      </w:pPr>
      <w:r>
        <w:rPr>
          <w:rFonts w:hint="eastAsia" w:ascii="黑体" w:hAnsi="黑体" w:eastAsia="黑体"/>
          <w:color w:val="auto"/>
          <w:sz w:val="32"/>
          <w:szCs w:val="32"/>
        </w:rPr>
        <w:t>三、其他资金：</w:t>
      </w:r>
      <w:r>
        <w:rPr>
          <w:rFonts w:hint="eastAsia" w:ascii="仿宋_GB2312" w:eastAsia="仿宋_GB2312"/>
          <w:color w:val="auto"/>
          <w:sz w:val="32"/>
          <w:szCs w:val="32"/>
        </w:rPr>
        <w:t>包括事业收入、事业经营收入、其他收入等。</w:t>
      </w:r>
    </w:p>
    <w:p>
      <w:pPr>
        <w:spacing w:line="520" w:lineRule="exact"/>
        <w:ind w:firstLine="642"/>
        <w:rPr>
          <w:rFonts w:ascii="仿宋_GB2312" w:eastAsia="仿宋_GB2312"/>
          <w:color w:val="auto"/>
          <w:sz w:val="32"/>
          <w:szCs w:val="32"/>
        </w:rPr>
      </w:pPr>
      <w:r>
        <w:rPr>
          <w:rFonts w:hint="eastAsia" w:ascii="黑体" w:hAnsi="黑体" w:eastAsia="黑体"/>
          <w:color w:val="auto"/>
          <w:sz w:val="32"/>
          <w:szCs w:val="32"/>
          <w:lang w:eastAsia="zh-CN"/>
        </w:rPr>
        <w:t>四</w:t>
      </w:r>
      <w:r>
        <w:rPr>
          <w:rFonts w:hint="eastAsia" w:ascii="黑体" w:hAnsi="黑体" w:eastAsia="黑体"/>
          <w:color w:val="auto"/>
          <w:sz w:val="32"/>
          <w:szCs w:val="32"/>
        </w:rPr>
        <w:t>、基本支出：</w:t>
      </w:r>
      <w:r>
        <w:rPr>
          <w:rFonts w:hint="eastAsia" w:ascii="仿宋_GB2312" w:eastAsia="仿宋_GB2312"/>
          <w:color w:val="auto"/>
          <w:sz w:val="32"/>
          <w:szCs w:val="32"/>
        </w:rPr>
        <w:t>包括人员经费、公用经费（定额）。其中，人员经费包括工资福利支出、对个人和家庭的补助。</w:t>
      </w:r>
    </w:p>
    <w:p>
      <w:pPr>
        <w:spacing w:line="520" w:lineRule="exact"/>
        <w:ind w:firstLine="642"/>
        <w:rPr>
          <w:rFonts w:ascii="仿宋_GB2312" w:eastAsia="仿宋_GB2312"/>
          <w:color w:val="auto"/>
          <w:sz w:val="32"/>
          <w:szCs w:val="32"/>
        </w:rPr>
      </w:pPr>
      <w:r>
        <w:rPr>
          <w:rFonts w:hint="eastAsia" w:ascii="黑体" w:hAnsi="黑体" w:eastAsia="黑体"/>
          <w:color w:val="auto"/>
          <w:sz w:val="32"/>
          <w:szCs w:val="32"/>
          <w:lang w:eastAsia="zh-CN"/>
        </w:rPr>
        <w:t>五</w:t>
      </w:r>
      <w:r>
        <w:rPr>
          <w:rFonts w:hint="eastAsia" w:ascii="黑体" w:hAnsi="黑体" w:eastAsia="黑体"/>
          <w:color w:val="auto"/>
          <w:sz w:val="32"/>
          <w:szCs w:val="32"/>
        </w:rPr>
        <w:t>、项目支出：</w:t>
      </w:r>
      <w:r>
        <w:rPr>
          <w:rFonts w:hint="eastAsia" w:ascii="仿宋_GB2312" w:eastAsia="仿宋_GB2312"/>
          <w:color w:val="auto"/>
          <w:sz w:val="32"/>
          <w:szCs w:val="32"/>
          <w:highlight w:val="none"/>
          <w:lang w:val="en-US" w:eastAsia="zh-CN"/>
        </w:rPr>
        <w:t>部门</w:t>
      </w:r>
      <w:r>
        <w:rPr>
          <w:rFonts w:hint="eastAsia" w:ascii="仿宋_GB2312" w:eastAsia="仿宋_GB2312"/>
          <w:color w:val="auto"/>
          <w:sz w:val="32"/>
          <w:szCs w:val="32"/>
          <w:highlight w:val="none"/>
        </w:rPr>
        <w:t>支</w:t>
      </w:r>
      <w:r>
        <w:rPr>
          <w:rFonts w:hint="eastAsia" w:ascii="仿宋_GB2312" w:eastAsia="仿宋_GB2312"/>
          <w:color w:val="auto"/>
          <w:sz w:val="32"/>
          <w:szCs w:val="32"/>
        </w:rPr>
        <w:t>出预算的组成部分，是</w:t>
      </w:r>
      <w:r>
        <w:rPr>
          <w:rFonts w:hint="eastAsia" w:ascii="仿宋_GB2312" w:eastAsia="仿宋_GB2312"/>
          <w:color w:val="auto"/>
          <w:sz w:val="32"/>
          <w:szCs w:val="32"/>
          <w:lang w:eastAsia="zh-CN"/>
        </w:rPr>
        <w:t>轮台县</w:t>
      </w:r>
      <w:r>
        <w:rPr>
          <w:rFonts w:hint="eastAsia" w:ascii="仿宋_GB2312" w:eastAsia="仿宋_GB2312"/>
          <w:color w:val="auto"/>
          <w:sz w:val="32"/>
          <w:szCs w:val="32"/>
        </w:rPr>
        <w:t>本级</w:t>
      </w:r>
      <w:r>
        <w:rPr>
          <w:rFonts w:hint="eastAsia" w:ascii="仿宋_GB2312" w:eastAsia="仿宋_GB2312"/>
          <w:color w:val="auto"/>
          <w:sz w:val="32"/>
          <w:szCs w:val="32"/>
          <w:lang w:eastAsia="zh-CN"/>
        </w:rPr>
        <w:t>部门</w:t>
      </w:r>
      <w:r>
        <w:rPr>
          <w:rFonts w:hint="eastAsia" w:ascii="仿宋_GB2312" w:eastAsia="仿宋_GB2312"/>
          <w:color w:val="auto"/>
          <w:sz w:val="32"/>
          <w:szCs w:val="32"/>
        </w:rPr>
        <w:t>为完成其特定的行政任务或事业发展目标，在基本支出预算之外编制的年度项目支出计划。</w:t>
      </w:r>
    </w:p>
    <w:p>
      <w:pPr>
        <w:spacing w:line="520" w:lineRule="exact"/>
        <w:ind w:firstLine="642"/>
        <w:rPr>
          <w:rFonts w:ascii="仿宋_GB2312" w:eastAsia="仿宋_GB2312"/>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、“三公”经费：</w:t>
      </w:r>
      <w:r>
        <w:rPr>
          <w:rFonts w:hint="eastAsia" w:ascii="仿宋_GB2312" w:eastAsia="仿宋_GB2312"/>
          <w:color w:val="auto"/>
          <w:sz w:val="32"/>
          <w:szCs w:val="32"/>
        </w:rPr>
        <w:t>指</w:t>
      </w:r>
      <w:r>
        <w:rPr>
          <w:rFonts w:hint="eastAsia" w:ascii="仿宋_GB2312" w:eastAsia="仿宋_GB2312"/>
          <w:color w:val="auto"/>
          <w:sz w:val="32"/>
          <w:szCs w:val="32"/>
          <w:lang w:eastAsia="zh-CN"/>
        </w:rPr>
        <w:t>轮台</w:t>
      </w:r>
      <w:r>
        <w:rPr>
          <w:rFonts w:hint="eastAsia" w:ascii="仿宋_GB2312" w:eastAsia="仿宋_GB2312"/>
          <w:color w:val="auto"/>
          <w:sz w:val="32"/>
          <w:szCs w:val="32"/>
        </w:rPr>
        <w:t>县本级</w:t>
      </w:r>
      <w:r>
        <w:rPr>
          <w:rFonts w:hint="eastAsia" w:ascii="仿宋_GB2312" w:eastAsia="仿宋_GB2312"/>
          <w:color w:val="auto"/>
          <w:sz w:val="32"/>
          <w:szCs w:val="32"/>
          <w:highlight w:val="none"/>
          <w:lang w:eastAsia="zh-CN"/>
        </w:rPr>
        <w:t>部门</w:t>
      </w:r>
      <w:r>
        <w:rPr>
          <w:rFonts w:hint="eastAsia" w:ascii="仿宋_GB2312" w:eastAsia="仿宋_GB2312"/>
          <w:color w:val="auto"/>
          <w:sz w:val="32"/>
          <w:szCs w:val="32"/>
        </w:rPr>
        <w:t>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spacing w:line="520" w:lineRule="exact"/>
        <w:ind w:firstLine="642"/>
        <w:rPr>
          <w:rFonts w:ascii="仿宋_GB2312" w:eastAsia="仿宋_GB2312"/>
          <w:color w:val="auto"/>
          <w:sz w:val="32"/>
          <w:szCs w:val="32"/>
        </w:rPr>
      </w:pPr>
      <w:r>
        <w:rPr>
          <w:rFonts w:hint="eastAsia" w:ascii="黑体" w:hAnsi="黑体" w:eastAsia="黑体"/>
          <w:color w:val="auto"/>
          <w:sz w:val="32"/>
          <w:szCs w:val="32"/>
          <w:lang w:eastAsia="zh-CN"/>
        </w:rPr>
        <w:t>七</w:t>
      </w:r>
      <w:r>
        <w:rPr>
          <w:rFonts w:hint="eastAsia" w:ascii="黑体" w:hAnsi="黑体" w:eastAsia="黑体"/>
          <w:color w:val="auto"/>
          <w:sz w:val="32"/>
          <w:szCs w:val="32"/>
        </w:rPr>
        <w:t>、机关运行经费：</w:t>
      </w:r>
      <w:r>
        <w:rPr>
          <w:rFonts w:hint="eastAsia" w:ascii="仿宋_GB2312" w:eastAsia="仿宋_GB2312"/>
          <w:color w:val="auto"/>
          <w:sz w:val="32"/>
          <w:szCs w:val="32"/>
        </w:rPr>
        <w:t>指</w:t>
      </w:r>
      <w:r>
        <w:rPr>
          <w:rFonts w:hint="eastAsia" w:ascii="仿宋_GB2312" w:eastAsia="仿宋_GB2312"/>
          <w:color w:val="auto"/>
          <w:sz w:val="32"/>
          <w:szCs w:val="32"/>
          <w:lang w:eastAsia="zh-CN"/>
        </w:rPr>
        <w:t>各部门</w:t>
      </w:r>
      <w:r>
        <w:rPr>
          <w:rFonts w:hint="eastAsia" w:ascii="仿宋_GB2312" w:eastAsia="仿宋_GB2312"/>
          <w:color w:val="auto"/>
          <w:sz w:val="32"/>
          <w:szCs w:val="32"/>
        </w:rPr>
        <w:t>的公用经费，包括办公及印刷费、邮电费、差旅费、会议费、福利费、日常维修费、专用材料及一般设备购置费、办公用房水电费、办公用房取暖费、办公用房物业管理费、公务用车运行维护费及其他费用。</w:t>
      </w: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spacing w:line="520" w:lineRule="exact"/>
        <w:jc w:val="left"/>
        <w:rPr>
          <w:rFonts w:ascii="仿宋_GB2312" w:hAnsi="宋体" w:eastAsia="仿宋_GB2312" w:cs="宋体"/>
          <w:color w:val="auto"/>
          <w:kern w:val="0"/>
          <w:sz w:val="32"/>
          <w:szCs w:val="32"/>
        </w:rPr>
      </w:pPr>
    </w:p>
    <w:p>
      <w:pPr>
        <w:widowControl/>
        <w:wordWrap w:val="0"/>
        <w:spacing w:line="520" w:lineRule="exact"/>
        <w:jc w:val="right"/>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color w:val="auto"/>
          <w:kern w:val="0"/>
          <w:sz w:val="32"/>
          <w:szCs w:val="32"/>
          <w:lang w:eastAsia="zh-CN"/>
        </w:rPr>
        <w:t>中共若羌县纪律检查委员会</w:t>
      </w:r>
      <w:r>
        <w:rPr>
          <w:rFonts w:hint="eastAsia" w:ascii="仿宋_GB2312" w:hAnsi="宋体" w:eastAsia="仿宋_GB2312" w:cs="宋体"/>
          <w:color w:val="auto"/>
          <w:kern w:val="0"/>
          <w:sz w:val="32"/>
          <w:szCs w:val="32"/>
          <w:lang w:val="en-US" w:eastAsia="zh-CN"/>
        </w:rPr>
        <w:t xml:space="preserve"> </w:t>
      </w:r>
    </w:p>
    <w:p>
      <w:pPr>
        <w:widowControl/>
        <w:wordWrap w:val="0"/>
        <w:spacing w:line="520" w:lineRule="exact"/>
        <w:jc w:val="right"/>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rPr>
        <w:t>2022</w:t>
      </w:r>
      <w:r>
        <w:rPr>
          <w:rFonts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rPr>
        <w:t>1</w:t>
      </w:r>
      <w:r>
        <w:rPr>
          <w:rFonts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rPr>
        <w:t>27</w:t>
      </w:r>
      <w:r>
        <w:rPr>
          <w:rFonts w:ascii="仿宋_GB2312" w:hAnsi="宋体" w:eastAsia="仿宋_GB2312" w:cs="宋体"/>
          <w:color w:val="auto"/>
          <w:kern w:val="0"/>
          <w:sz w:val="32"/>
          <w:szCs w:val="32"/>
        </w:rPr>
        <w:t>日</w:t>
      </w:r>
      <w:r>
        <w:rPr>
          <w:rFonts w:hint="eastAsia" w:ascii="仿宋_GB2312" w:hAnsi="宋体" w:eastAsia="仿宋_GB2312" w:cs="宋体"/>
          <w:color w:val="auto"/>
          <w:kern w:val="0"/>
          <w:sz w:val="32"/>
          <w:szCs w:val="32"/>
          <w:lang w:val="en-US" w:eastAsia="zh-CN"/>
        </w:rPr>
        <w:t xml:space="preserve">  </w:t>
      </w: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32 -</w:t>
    </w:r>
    <w:r>
      <w:rPr>
        <w:rFonts w:ascii="宋体" w:hAnsi="宋体"/>
        <w:sz w:val="28"/>
        <w:szCs w:val="2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FAC725"/>
    <w:multiLevelType w:val="singleLevel"/>
    <w:tmpl w:val="F3FAC725"/>
    <w:lvl w:ilvl="0" w:tentative="0">
      <w:start w:val="1"/>
      <w:numFmt w:val="decimal"/>
      <w:suff w:val="nothing"/>
      <w:lvlText w:val="%1．"/>
      <w:lvlJc w:val="left"/>
      <w:pPr>
        <w:ind w:left="0" w:firstLine="400"/>
      </w:pPr>
      <w:rPr>
        <w:rFonts w:hint="default"/>
      </w:rPr>
    </w:lvl>
  </w:abstractNum>
  <w:abstractNum w:abstractNumId="1">
    <w:nsid w:val="41B13FDA"/>
    <w:multiLevelType w:val="singleLevel"/>
    <w:tmpl w:val="41B13FDA"/>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dit="comments" w:enforcement="1" w:cryptProviderType="rsaFull" w:cryptAlgorithmClass="hash" w:cryptAlgorithmType="typeAny" w:cryptAlgorithmSid="4" w:cryptSpinCount="0" w:hash="DhJrJtJG6iHgI1kxnG9yyS0xzr4=" w:salt="NI3GR85arv+f5JARCxLx8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5F8"/>
    <w:rsid w:val="00052A19"/>
    <w:rsid w:val="00062EE2"/>
    <w:rsid w:val="000822E0"/>
    <w:rsid w:val="00085F16"/>
    <w:rsid w:val="000A321A"/>
    <w:rsid w:val="000A4DC4"/>
    <w:rsid w:val="000B75E3"/>
    <w:rsid w:val="000E7CD1"/>
    <w:rsid w:val="00101097"/>
    <w:rsid w:val="00107AFF"/>
    <w:rsid w:val="00141A59"/>
    <w:rsid w:val="00210052"/>
    <w:rsid w:val="00247C3C"/>
    <w:rsid w:val="002748CF"/>
    <w:rsid w:val="00277726"/>
    <w:rsid w:val="00367A0A"/>
    <w:rsid w:val="00395205"/>
    <w:rsid w:val="003B08F0"/>
    <w:rsid w:val="003C5EAF"/>
    <w:rsid w:val="003F222B"/>
    <w:rsid w:val="00442A5E"/>
    <w:rsid w:val="00477293"/>
    <w:rsid w:val="00483272"/>
    <w:rsid w:val="004B3D92"/>
    <w:rsid w:val="004B6943"/>
    <w:rsid w:val="004F55C5"/>
    <w:rsid w:val="00521D94"/>
    <w:rsid w:val="005623CC"/>
    <w:rsid w:val="0057036D"/>
    <w:rsid w:val="0059320B"/>
    <w:rsid w:val="005C3330"/>
    <w:rsid w:val="00614770"/>
    <w:rsid w:val="00620CCA"/>
    <w:rsid w:val="006E7C06"/>
    <w:rsid w:val="00766EDC"/>
    <w:rsid w:val="00771630"/>
    <w:rsid w:val="007B7AF1"/>
    <w:rsid w:val="00824633"/>
    <w:rsid w:val="00841062"/>
    <w:rsid w:val="00865283"/>
    <w:rsid w:val="008F514A"/>
    <w:rsid w:val="008F62B4"/>
    <w:rsid w:val="00903819"/>
    <w:rsid w:val="009210B4"/>
    <w:rsid w:val="0092405A"/>
    <w:rsid w:val="00924B5B"/>
    <w:rsid w:val="009A3EEE"/>
    <w:rsid w:val="00A24620"/>
    <w:rsid w:val="00A607AA"/>
    <w:rsid w:val="00AB7EB4"/>
    <w:rsid w:val="00AF4C16"/>
    <w:rsid w:val="00B25CF8"/>
    <w:rsid w:val="00B440BE"/>
    <w:rsid w:val="00B875F8"/>
    <w:rsid w:val="00BC613B"/>
    <w:rsid w:val="00CD2ADD"/>
    <w:rsid w:val="00CF48CA"/>
    <w:rsid w:val="00D23F90"/>
    <w:rsid w:val="00DA3578"/>
    <w:rsid w:val="00DD6B58"/>
    <w:rsid w:val="00DE2F87"/>
    <w:rsid w:val="00E13E00"/>
    <w:rsid w:val="00E2167C"/>
    <w:rsid w:val="00E24F34"/>
    <w:rsid w:val="00E61B7D"/>
    <w:rsid w:val="00EA7904"/>
    <w:rsid w:val="00EF7185"/>
    <w:rsid w:val="00F14FD9"/>
    <w:rsid w:val="00F55199"/>
    <w:rsid w:val="00F7502C"/>
    <w:rsid w:val="00FB019B"/>
    <w:rsid w:val="01131817"/>
    <w:rsid w:val="019C3335"/>
    <w:rsid w:val="02280EB5"/>
    <w:rsid w:val="0324104F"/>
    <w:rsid w:val="03B11CCA"/>
    <w:rsid w:val="04114B34"/>
    <w:rsid w:val="04930032"/>
    <w:rsid w:val="04EA5BED"/>
    <w:rsid w:val="053F4B25"/>
    <w:rsid w:val="05D3454C"/>
    <w:rsid w:val="06EC5F98"/>
    <w:rsid w:val="07462ED9"/>
    <w:rsid w:val="074D476B"/>
    <w:rsid w:val="075D77AB"/>
    <w:rsid w:val="07C8048F"/>
    <w:rsid w:val="07D7057D"/>
    <w:rsid w:val="08043BF7"/>
    <w:rsid w:val="08076FF9"/>
    <w:rsid w:val="08860AB3"/>
    <w:rsid w:val="09350B75"/>
    <w:rsid w:val="094714CA"/>
    <w:rsid w:val="09681EBB"/>
    <w:rsid w:val="09820EDA"/>
    <w:rsid w:val="09921B43"/>
    <w:rsid w:val="09AC6593"/>
    <w:rsid w:val="0A214453"/>
    <w:rsid w:val="0A9B08D6"/>
    <w:rsid w:val="0BE0270A"/>
    <w:rsid w:val="0BF21187"/>
    <w:rsid w:val="0D0C5ECB"/>
    <w:rsid w:val="0D6C627C"/>
    <w:rsid w:val="0E7E6CD0"/>
    <w:rsid w:val="0EEC4FFE"/>
    <w:rsid w:val="0F4016E6"/>
    <w:rsid w:val="0F907CD8"/>
    <w:rsid w:val="0FB27003"/>
    <w:rsid w:val="0FBF5407"/>
    <w:rsid w:val="103E61B4"/>
    <w:rsid w:val="10934AB5"/>
    <w:rsid w:val="10A66EC6"/>
    <w:rsid w:val="119736D2"/>
    <w:rsid w:val="11AF3C28"/>
    <w:rsid w:val="133B71EB"/>
    <w:rsid w:val="13690D69"/>
    <w:rsid w:val="142C1F6E"/>
    <w:rsid w:val="14383B74"/>
    <w:rsid w:val="1451614D"/>
    <w:rsid w:val="148E640C"/>
    <w:rsid w:val="14A85AC3"/>
    <w:rsid w:val="14E12624"/>
    <w:rsid w:val="14EA7E09"/>
    <w:rsid w:val="15122926"/>
    <w:rsid w:val="15AE6E78"/>
    <w:rsid w:val="15DE7B4D"/>
    <w:rsid w:val="164F02C7"/>
    <w:rsid w:val="16CA7CA0"/>
    <w:rsid w:val="16D73E64"/>
    <w:rsid w:val="17187783"/>
    <w:rsid w:val="171A7F52"/>
    <w:rsid w:val="1824606E"/>
    <w:rsid w:val="1836394E"/>
    <w:rsid w:val="18DB78A1"/>
    <w:rsid w:val="18FD626C"/>
    <w:rsid w:val="194E5EE0"/>
    <w:rsid w:val="197E0524"/>
    <w:rsid w:val="199C584B"/>
    <w:rsid w:val="19DA35D7"/>
    <w:rsid w:val="1A9C070B"/>
    <w:rsid w:val="1BDA0F6D"/>
    <w:rsid w:val="1C27010F"/>
    <w:rsid w:val="1C6B1C8C"/>
    <w:rsid w:val="1C715AA2"/>
    <w:rsid w:val="1D8D5B21"/>
    <w:rsid w:val="1F257E44"/>
    <w:rsid w:val="1F7726F5"/>
    <w:rsid w:val="1FC01B9F"/>
    <w:rsid w:val="205740A1"/>
    <w:rsid w:val="206802D9"/>
    <w:rsid w:val="207C65F4"/>
    <w:rsid w:val="209E69F1"/>
    <w:rsid w:val="211877C2"/>
    <w:rsid w:val="216940D7"/>
    <w:rsid w:val="21CA3A05"/>
    <w:rsid w:val="22CA6669"/>
    <w:rsid w:val="233711C2"/>
    <w:rsid w:val="236C6A95"/>
    <w:rsid w:val="2380317E"/>
    <w:rsid w:val="23B90E91"/>
    <w:rsid w:val="23DC31D6"/>
    <w:rsid w:val="24480EBC"/>
    <w:rsid w:val="24C16BEF"/>
    <w:rsid w:val="24E0347F"/>
    <w:rsid w:val="261E61DD"/>
    <w:rsid w:val="26782F30"/>
    <w:rsid w:val="26E87D38"/>
    <w:rsid w:val="27785971"/>
    <w:rsid w:val="27DC0839"/>
    <w:rsid w:val="28A434CF"/>
    <w:rsid w:val="297119C2"/>
    <w:rsid w:val="299C46A6"/>
    <w:rsid w:val="29E827DB"/>
    <w:rsid w:val="29FE1FA8"/>
    <w:rsid w:val="2A164AE9"/>
    <w:rsid w:val="2A4C1DBE"/>
    <w:rsid w:val="2B561527"/>
    <w:rsid w:val="2C381BA3"/>
    <w:rsid w:val="2C50604D"/>
    <w:rsid w:val="2C7449AB"/>
    <w:rsid w:val="2D10551B"/>
    <w:rsid w:val="2D127AE8"/>
    <w:rsid w:val="2D547109"/>
    <w:rsid w:val="2DEB61BC"/>
    <w:rsid w:val="2EE26469"/>
    <w:rsid w:val="2EEA7EF1"/>
    <w:rsid w:val="30283FD4"/>
    <w:rsid w:val="30DA0E6B"/>
    <w:rsid w:val="321E0CD6"/>
    <w:rsid w:val="32397F82"/>
    <w:rsid w:val="32BC7C14"/>
    <w:rsid w:val="33D57813"/>
    <w:rsid w:val="349B6008"/>
    <w:rsid w:val="34AB72A8"/>
    <w:rsid w:val="34C62F2E"/>
    <w:rsid w:val="34CE2AF8"/>
    <w:rsid w:val="35584443"/>
    <w:rsid w:val="355B2B02"/>
    <w:rsid w:val="356928B6"/>
    <w:rsid w:val="36D402DE"/>
    <w:rsid w:val="37026862"/>
    <w:rsid w:val="373F3AA6"/>
    <w:rsid w:val="38052030"/>
    <w:rsid w:val="381249E7"/>
    <w:rsid w:val="38483DFE"/>
    <w:rsid w:val="38594DF8"/>
    <w:rsid w:val="38EC495A"/>
    <w:rsid w:val="394501DC"/>
    <w:rsid w:val="394C20A8"/>
    <w:rsid w:val="397F4391"/>
    <w:rsid w:val="39950806"/>
    <w:rsid w:val="3A1E0326"/>
    <w:rsid w:val="3A9E2C37"/>
    <w:rsid w:val="3ABC105C"/>
    <w:rsid w:val="3B2304C7"/>
    <w:rsid w:val="3B5A76A5"/>
    <w:rsid w:val="3C614912"/>
    <w:rsid w:val="3CBD3D7E"/>
    <w:rsid w:val="3CDD5159"/>
    <w:rsid w:val="3D1529E8"/>
    <w:rsid w:val="3D1C3C9F"/>
    <w:rsid w:val="3D5C0F9B"/>
    <w:rsid w:val="3DA0135D"/>
    <w:rsid w:val="3DB31A0F"/>
    <w:rsid w:val="3DBE167E"/>
    <w:rsid w:val="3DCF60A8"/>
    <w:rsid w:val="3E700017"/>
    <w:rsid w:val="3F2F13EA"/>
    <w:rsid w:val="3F8442A5"/>
    <w:rsid w:val="3F955656"/>
    <w:rsid w:val="3FB21699"/>
    <w:rsid w:val="3FC411C8"/>
    <w:rsid w:val="3FE83078"/>
    <w:rsid w:val="4019409A"/>
    <w:rsid w:val="40A17BB7"/>
    <w:rsid w:val="40D57DED"/>
    <w:rsid w:val="4116649C"/>
    <w:rsid w:val="41186685"/>
    <w:rsid w:val="416C67BD"/>
    <w:rsid w:val="41AE194C"/>
    <w:rsid w:val="41B16D81"/>
    <w:rsid w:val="41CA637C"/>
    <w:rsid w:val="41DD6129"/>
    <w:rsid w:val="422E0C4E"/>
    <w:rsid w:val="435A6812"/>
    <w:rsid w:val="435C2858"/>
    <w:rsid w:val="43D452B4"/>
    <w:rsid w:val="44344BFD"/>
    <w:rsid w:val="44CA58B9"/>
    <w:rsid w:val="44EC2D8F"/>
    <w:rsid w:val="452E14AA"/>
    <w:rsid w:val="45894562"/>
    <w:rsid w:val="458D5DCA"/>
    <w:rsid w:val="458E4AC1"/>
    <w:rsid w:val="46E5554C"/>
    <w:rsid w:val="471A3981"/>
    <w:rsid w:val="48B24A62"/>
    <w:rsid w:val="48F52463"/>
    <w:rsid w:val="49804ADB"/>
    <w:rsid w:val="4AC9215F"/>
    <w:rsid w:val="4AE24930"/>
    <w:rsid w:val="4BB31A61"/>
    <w:rsid w:val="4BBF0303"/>
    <w:rsid w:val="4C4E606D"/>
    <w:rsid w:val="4C59539F"/>
    <w:rsid w:val="4C5D748B"/>
    <w:rsid w:val="4CB23683"/>
    <w:rsid w:val="4CE969DA"/>
    <w:rsid w:val="4D5C5645"/>
    <w:rsid w:val="4DD90A03"/>
    <w:rsid w:val="4E4172EA"/>
    <w:rsid w:val="4E977578"/>
    <w:rsid w:val="4ED4461A"/>
    <w:rsid w:val="4EF60280"/>
    <w:rsid w:val="4EFC0E5A"/>
    <w:rsid w:val="4F6212D0"/>
    <w:rsid w:val="4FD02D79"/>
    <w:rsid w:val="51672EC3"/>
    <w:rsid w:val="51956012"/>
    <w:rsid w:val="52182F7B"/>
    <w:rsid w:val="527A41DD"/>
    <w:rsid w:val="52A30658"/>
    <w:rsid w:val="53392F15"/>
    <w:rsid w:val="5355358B"/>
    <w:rsid w:val="53AC20B9"/>
    <w:rsid w:val="5469060D"/>
    <w:rsid w:val="55AB4A76"/>
    <w:rsid w:val="55DC3B71"/>
    <w:rsid w:val="55F95C8B"/>
    <w:rsid w:val="5605124F"/>
    <w:rsid w:val="56444C36"/>
    <w:rsid w:val="56AF7181"/>
    <w:rsid w:val="56DE35F9"/>
    <w:rsid w:val="575327E6"/>
    <w:rsid w:val="59236156"/>
    <w:rsid w:val="5A636C88"/>
    <w:rsid w:val="5B021A0D"/>
    <w:rsid w:val="5B74074A"/>
    <w:rsid w:val="5B9E19BC"/>
    <w:rsid w:val="5BC35B59"/>
    <w:rsid w:val="5BCE11BF"/>
    <w:rsid w:val="5BD65005"/>
    <w:rsid w:val="5BFA6231"/>
    <w:rsid w:val="5C1F5671"/>
    <w:rsid w:val="5CA701F6"/>
    <w:rsid w:val="5D453A58"/>
    <w:rsid w:val="5D8B6AFB"/>
    <w:rsid w:val="5E3C5AA4"/>
    <w:rsid w:val="5E9F1BD6"/>
    <w:rsid w:val="5EFE29AA"/>
    <w:rsid w:val="5F4A6153"/>
    <w:rsid w:val="60670BB1"/>
    <w:rsid w:val="60896D96"/>
    <w:rsid w:val="61AF3DF8"/>
    <w:rsid w:val="61E14C54"/>
    <w:rsid w:val="623840E3"/>
    <w:rsid w:val="632F5170"/>
    <w:rsid w:val="63565657"/>
    <w:rsid w:val="64462F57"/>
    <w:rsid w:val="64D9792A"/>
    <w:rsid w:val="64EA4341"/>
    <w:rsid w:val="64F11857"/>
    <w:rsid w:val="6525040A"/>
    <w:rsid w:val="653007D9"/>
    <w:rsid w:val="658E2496"/>
    <w:rsid w:val="65A50956"/>
    <w:rsid w:val="6632729F"/>
    <w:rsid w:val="6656554B"/>
    <w:rsid w:val="677D2797"/>
    <w:rsid w:val="67AE0D56"/>
    <w:rsid w:val="68962698"/>
    <w:rsid w:val="689D00F9"/>
    <w:rsid w:val="6926541D"/>
    <w:rsid w:val="692F4FBB"/>
    <w:rsid w:val="695A3A9B"/>
    <w:rsid w:val="6AA337FF"/>
    <w:rsid w:val="6B06659C"/>
    <w:rsid w:val="6B2B2E63"/>
    <w:rsid w:val="6B4A6E98"/>
    <w:rsid w:val="6BA360E8"/>
    <w:rsid w:val="6BA430AF"/>
    <w:rsid w:val="6C004346"/>
    <w:rsid w:val="6C5F777F"/>
    <w:rsid w:val="6C6031D1"/>
    <w:rsid w:val="6D385173"/>
    <w:rsid w:val="6D576EF9"/>
    <w:rsid w:val="6D977E40"/>
    <w:rsid w:val="6E7F3704"/>
    <w:rsid w:val="6ED76C84"/>
    <w:rsid w:val="6F381192"/>
    <w:rsid w:val="70DE33B3"/>
    <w:rsid w:val="71D51DFE"/>
    <w:rsid w:val="71F65E3D"/>
    <w:rsid w:val="720B53AE"/>
    <w:rsid w:val="72164547"/>
    <w:rsid w:val="7242598D"/>
    <w:rsid w:val="72AF228E"/>
    <w:rsid w:val="73793F9F"/>
    <w:rsid w:val="73BB4420"/>
    <w:rsid w:val="73F87855"/>
    <w:rsid w:val="7459644E"/>
    <w:rsid w:val="7507504A"/>
    <w:rsid w:val="751945F4"/>
    <w:rsid w:val="7593113B"/>
    <w:rsid w:val="75A810A2"/>
    <w:rsid w:val="75A90F55"/>
    <w:rsid w:val="76030D51"/>
    <w:rsid w:val="761F769D"/>
    <w:rsid w:val="77165626"/>
    <w:rsid w:val="771F4FC4"/>
    <w:rsid w:val="774D3E1A"/>
    <w:rsid w:val="775E0BCE"/>
    <w:rsid w:val="777B11F7"/>
    <w:rsid w:val="77EC2407"/>
    <w:rsid w:val="789F7941"/>
    <w:rsid w:val="78A721A0"/>
    <w:rsid w:val="799252BD"/>
    <w:rsid w:val="79CB28A8"/>
    <w:rsid w:val="7A5509BE"/>
    <w:rsid w:val="7A6256A9"/>
    <w:rsid w:val="7ABA5443"/>
    <w:rsid w:val="7BE13E76"/>
    <w:rsid w:val="7C061393"/>
    <w:rsid w:val="7C872A78"/>
    <w:rsid w:val="7D536935"/>
    <w:rsid w:val="7DBA46F1"/>
    <w:rsid w:val="7DFD3B13"/>
    <w:rsid w:val="7E1A2F55"/>
    <w:rsid w:val="7E3029EA"/>
    <w:rsid w:val="7E8B365E"/>
    <w:rsid w:val="7F99421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1"/>
    <w:semiHidden/>
    <w:qFormat/>
    <w:uiPriority w:val="0"/>
    <w:rPr>
      <w:rFonts w:ascii="Calibri" w:hAnsi="Calibri"/>
      <w:sz w:val="18"/>
      <w:szCs w:val="18"/>
    </w:rPr>
  </w:style>
  <w:style w:type="paragraph" w:styleId="3">
    <w:name w:val="footer"/>
    <w:basedOn w:val="1"/>
    <w:link w:val="20"/>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19"/>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Body Text Indent 3"/>
    <w:basedOn w:val="1"/>
    <w:link w:val="17"/>
    <w:qFormat/>
    <w:uiPriority w:val="0"/>
    <w:pPr>
      <w:pBdr>
        <w:top w:val="single" w:color="auto" w:sz="12" w:space="1"/>
        <w:bottom w:val="single" w:color="auto" w:sz="12" w:space="1"/>
      </w:pBdr>
      <w:spacing w:line="600" w:lineRule="exact"/>
      <w:ind w:left="1280" w:hanging="1280" w:hangingChars="400"/>
    </w:pPr>
    <w:rPr>
      <w:rFonts w:ascii="Calibri" w:hAnsi="Calibri" w:eastAsia="仿宋_GB2312"/>
      <w:sz w:val="32"/>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rFonts w:cs="Times New Roman"/>
      <w:b/>
      <w:bCs/>
    </w:rPr>
  </w:style>
  <w:style w:type="paragraph" w:customStyle="1" w:styleId="11">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2">
    <w:name w:val="普通(网站)2"/>
    <w:basedOn w:val="1"/>
    <w:qFormat/>
    <w:uiPriority w:val="0"/>
    <w:rPr>
      <w:rFonts w:ascii="Calibri" w:hAnsi="Calibri" w:cs="黑体"/>
      <w:sz w:val="24"/>
    </w:rPr>
  </w:style>
  <w:style w:type="paragraph" w:customStyle="1" w:styleId="13">
    <w:name w:val="普通(网站)3"/>
    <w:basedOn w:val="1"/>
    <w:qFormat/>
    <w:uiPriority w:val="0"/>
    <w:rPr>
      <w:rFonts w:ascii="Calibri" w:hAnsi="Calibri" w:cs="黑体"/>
      <w:sz w:val="24"/>
    </w:r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普通(网站)1"/>
    <w:basedOn w:val="1"/>
    <w:qFormat/>
    <w:uiPriority w:val="0"/>
    <w:rPr>
      <w:rFonts w:ascii="Calibri" w:hAnsi="Calibri" w:cs="黑体"/>
      <w:sz w:val="24"/>
    </w:rPr>
  </w:style>
  <w:style w:type="character" w:customStyle="1" w:styleId="16">
    <w:name w:val="批注框文本 Char1"/>
    <w:semiHidden/>
    <w:qFormat/>
    <w:uiPriority w:val="99"/>
    <w:rPr>
      <w:rFonts w:ascii="Times New Roman" w:hAnsi="Times New Roman"/>
      <w:kern w:val="2"/>
      <w:sz w:val="18"/>
      <w:szCs w:val="18"/>
    </w:rPr>
  </w:style>
  <w:style w:type="character" w:customStyle="1" w:styleId="17">
    <w:name w:val="正文文本缩进 3 Char"/>
    <w:link w:val="5"/>
    <w:qFormat/>
    <w:uiPriority w:val="0"/>
    <w:rPr>
      <w:rFonts w:eastAsia="仿宋_GB2312"/>
      <w:kern w:val="2"/>
      <w:sz w:val="32"/>
      <w:szCs w:val="24"/>
    </w:rPr>
  </w:style>
  <w:style w:type="character" w:customStyle="1" w:styleId="18">
    <w:name w:val="正文文本缩进 3 Char1"/>
    <w:semiHidden/>
    <w:qFormat/>
    <w:uiPriority w:val="99"/>
    <w:rPr>
      <w:rFonts w:ascii="Times New Roman" w:hAnsi="Times New Roman"/>
      <w:kern w:val="2"/>
      <w:sz w:val="16"/>
      <w:szCs w:val="16"/>
    </w:rPr>
  </w:style>
  <w:style w:type="character" w:customStyle="1" w:styleId="19">
    <w:name w:val="页眉 Char"/>
    <w:link w:val="4"/>
    <w:qFormat/>
    <w:uiPriority w:val="0"/>
    <w:rPr>
      <w:sz w:val="18"/>
      <w:szCs w:val="18"/>
    </w:rPr>
  </w:style>
  <w:style w:type="character" w:customStyle="1" w:styleId="20">
    <w:name w:val="页脚 Char"/>
    <w:link w:val="3"/>
    <w:qFormat/>
    <w:uiPriority w:val="99"/>
    <w:rPr>
      <w:sz w:val="18"/>
      <w:szCs w:val="18"/>
    </w:rPr>
  </w:style>
  <w:style w:type="character" w:customStyle="1" w:styleId="21">
    <w:name w:val="批注框文本 Char"/>
    <w:link w:val="2"/>
    <w:semiHidden/>
    <w:qFormat/>
    <w:uiPriority w:val="0"/>
    <w:rPr>
      <w:kern w:val="2"/>
      <w:sz w:val="18"/>
      <w:szCs w:val="18"/>
    </w:rPr>
  </w:style>
  <w:style w:type="character" w:customStyle="1" w:styleId="22">
    <w:name w:val="font0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15</Pages>
  <Words>836</Words>
  <Characters>4766</Characters>
  <Lines>39</Lines>
  <Paragraphs>11</Paragraphs>
  <TotalTime>1</TotalTime>
  <ScaleCrop>false</ScaleCrop>
  <LinksUpToDate>false</LinksUpToDate>
  <CharactersWithSpaces>5591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2021-02-05T04:28:00Z</dcterms:created>
  <dc:creator>lg</dc:creator>
  <cp:lastModifiedBy>Administrator</cp:lastModifiedBy>
  <dcterms:modified xsi:type="dcterms:W3CDTF">2022-03-02T10:36:46Z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